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BC3F1C">
      <w:pPr>
        <w:spacing w:line="600" w:lineRule="exact"/>
        <w:ind w:right="42"/>
        <w:jc w:val="center"/>
        <w:outlineLvl w:val="1"/>
        <w:rPr>
          <w:rFonts w:ascii="方正小标宋_GBK" w:hAnsi="方正小标宋_GBK" w:eastAsia="方正小标宋_GBK" w:cs="方正小标宋_GBK"/>
          <w:kern w:val="0"/>
          <w:sz w:val="44"/>
          <w:szCs w:val="44"/>
          <w:lang w:eastAsia="zh-Hans"/>
        </w:rPr>
      </w:pPr>
    </w:p>
    <w:p w14:paraId="3A8F3087">
      <w:pPr>
        <w:spacing w:line="600" w:lineRule="exact"/>
        <w:ind w:right="42"/>
        <w:jc w:val="center"/>
        <w:outlineLvl w:val="1"/>
        <w:rPr>
          <w:rFonts w:ascii="方正小标宋_GBK" w:hAnsi="方正小标宋_GBK" w:eastAsia="方正小标宋_GBK" w:cs="方正小标宋_GBK"/>
          <w:kern w:val="0"/>
          <w:sz w:val="40"/>
          <w:szCs w:val="40"/>
        </w:rPr>
      </w:pPr>
      <w:r>
        <w:rPr>
          <w:rFonts w:hint="eastAsia" w:ascii="方正小标宋_GBK" w:hAnsi="方正小标宋_GBK" w:eastAsia="方正小标宋_GBK" w:cs="方正小标宋_GBK"/>
          <w:kern w:val="0"/>
          <w:sz w:val="40"/>
          <w:szCs w:val="40"/>
          <w:lang w:eastAsia="zh-Hans"/>
        </w:rPr>
        <w:t>眼科</w:t>
      </w:r>
      <w:r>
        <w:rPr>
          <w:rFonts w:hint="eastAsia" w:ascii="方正小标宋_GBK" w:hAnsi="方正小标宋_GBK" w:eastAsia="方正小标宋_GBK" w:cs="方正小标宋_GBK"/>
          <w:kern w:val="0"/>
          <w:sz w:val="40"/>
          <w:szCs w:val="40"/>
        </w:rPr>
        <w:t>住院医师规范化培训</w:t>
      </w:r>
    </w:p>
    <w:p w14:paraId="2DB2926D">
      <w:pPr>
        <w:spacing w:line="600" w:lineRule="exact"/>
        <w:ind w:right="42"/>
        <w:jc w:val="center"/>
        <w:outlineLvl w:val="1"/>
        <w:rPr>
          <w:rFonts w:ascii="黑体" w:hAnsi="黑体" w:eastAsia="黑体" w:cs="FZXBSK--GBK1-0"/>
          <w:kern w:val="0"/>
          <w:sz w:val="40"/>
          <w:szCs w:val="40"/>
        </w:rPr>
      </w:pPr>
      <w:r>
        <w:rPr>
          <w:rFonts w:hint="eastAsia" w:ascii="方正小标宋_GBK" w:hAnsi="方正小标宋_GBK" w:eastAsia="方正小标宋_GBK" w:cs="方正小标宋_GBK"/>
          <w:kern w:val="0"/>
          <w:sz w:val="40"/>
          <w:szCs w:val="40"/>
        </w:rPr>
        <w:t>手术操作指导教学指南</w:t>
      </w:r>
    </w:p>
    <w:p w14:paraId="24D74A70">
      <w:pPr>
        <w:spacing w:line="600" w:lineRule="exact"/>
        <w:ind w:left="760" w:right="42"/>
        <w:jc w:val="center"/>
        <w:outlineLvl w:val="1"/>
        <w:rPr>
          <w:rFonts w:ascii="方正小标宋_GBK" w:hAnsi="方正小标宋_GBK" w:eastAsia="方正小标宋_GBK" w:cs="方正小标宋_GBK"/>
          <w:kern w:val="0"/>
          <w:sz w:val="32"/>
          <w:szCs w:val="32"/>
        </w:rPr>
      </w:pPr>
      <w:r>
        <w:rPr>
          <w:rFonts w:hint="eastAsia" w:ascii="方正小标宋_GBK" w:hAnsi="方正小标宋_GBK" w:eastAsia="方正小标宋_GBK" w:cs="方正小标宋_GBK"/>
          <w:kern w:val="0"/>
          <w:sz w:val="32"/>
          <w:szCs w:val="32"/>
        </w:rPr>
        <w:t>（</w:t>
      </w:r>
      <w:r>
        <w:rPr>
          <w:rFonts w:hint="eastAsia" w:ascii="方正小标宋_GBK" w:hAnsi="方正小标宋_GBK" w:eastAsia="方正小标宋_GBK" w:cs="方正小标宋_GBK"/>
          <w:w w:val="95"/>
          <w:kern w:val="0"/>
          <w:sz w:val="32"/>
          <w:szCs w:val="32"/>
        </w:rPr>
        <w:t>202</w:t>
      </w:r>
      <w:r>
        <w:rPr>
          <w:rFonts w:hint="eastAsia" w:ascii="方正小标宋_GBK" w:hAnsi="方正小标宋_GBK" w:eastAsia="方正小标宋_GBK" w:cs="方正小标宋_GBK"/>
          <w:w w:val="95"/>
          <w:kern w:val="0"/>
          <w:sz w:val="32"/>
          <w:szCs w:val="32"/>
          <w:lang w:val="en-US" w:eastAsia="zh-CN"/>
        </w:rPr>
        <w:t>4</w:t>
      </w:r>
      <w:r>
        <w:rPr>
          <w:rFonts w:hint="eastAsia" w:ascii="方正小标宋_GBK" w:hAnsi="方正小标宋_GBK" w:eastAsia="方正小标宋_GBK" w:cs="方正小标宋_GBK"/>
          <w:w w:val="95"/>
          <w:kern w:val="0"/>
          <w:sz w:val="32"/>
          <w:szCs w:val="32"/>
        </w:rPr>
        <w:t>年版</w:t>
      </w:r>
      <w:r>
        <w:rPr>
          <w:rFonts w:hint="eastAsia" w:ascii="方正小标宋_GBK" w:hAnsi="方正小标宋_GBK" w:eastAsia="方正小标宋_GBK" w:cs="方正小标宋_GBK"/>
          <w:kern w:val="0"/>
          <w:sz w:val="32"/>
          <w:szCs w:val="32"/>
        </w:rPr>
        <w:t>）</w:t>
      </w:r>
    </w:p>
    <w:p w14:paraId="286CFA29">
      <w:pPr>
        <w:spacing w:line="600" w:lineRule="exact"/>
        <w:ind w:left="760" w:right="42"/>
        <w:jc w:val="center"/>
        <w:outlineLvl w:val="1"/>
        <w:rPr>
          <w:rFonts w:ascii="方正小标宋_GBK" w:hAnsi="方正小标宋_GBK" w:eastAsia="方正小标宋_GBK" w:cs="方正小标宋_GBK"/>
          <w:kern w:val="0"/>
          <w:sz w:val="32"/>
          <w:szCs w:val="32"/>
        </w:rPr>
      </w:pPr>
    </w:p>
    <w:p w14:paraId="5358AB1F">
      <w:pPr>
        <w:spacing w:line="321" w:lineRule="auto"/>
        <w:ind w:right="127" w:firstLine="580" w:firstLineChars="200"/>
        <w:rPr>
          <w:rFonts w:ascii="仿宋_GB2312" w:hAnsi="仿宋_GB2312" w:eastAsia="仿宋_GB2312" w:cs="仿宋_GB2312"/>
          <w:spacing w:val="12"/>
          <w:w w:val="95"/>
          <w:kern w:val="0"/>
          <w:sz w:val="28"/>
          <w:szCs w:val="28"/>
        </w:rPr>
      </w:pPr>
      <w:r>
        <w:rPr>
          <w:rFonts w:hint="eastAsia" w:ascii="仿宋_GB2312" w:hAnsi="仿宋_GB2312" w:eastAsia="仿宋_GB2312" w:cs="仿宋_GB2312"/>
          <w:spacing w:val="12"/>
          <w:w w:val="95"/>
          <w:kern w:val="0"/>
          <w:sz w:val="28"/>
          <w:szCs w:val="28"/>
        </w:rPr>
        <w:t>手术操作指导是在指导医师的组织下，以住院医师为主体，在临床实践过程中以手术操作为主要教学内容，采用分层递进、师生互动的教学形式，培养住院医师手术操作技能和临床实践能力的教学活动。</w:t>
      </w:r>
    </w:p>
    <w:p w14:paraId="01BA5793">
      <w:pPr>
        <w:tabs>
          <w:tab w:val="left" w:pos="599"/>
        </w:tabs>
        <w:spacing w:before="31"/>
        <w:ind w:left="120" w:right="2905"/>
        <w:jc w:val="left"/>
        <w:outlineLvl w:val="2"/>
        <w:rPr>
          <w:rFonts w:ascii="黑体" w:hAnsi="黑体" w:eastAsia="黑体" w:cs="黑体"/>
          <w:b/>
          <w:bCs/>
          <w:kern w:val="0"/>
          <w:sz w:val="28"/>
          <w:szCs w:val="28"/>
        </w:rPr>
      </w:pPr>
      <w:r>
        <w:rPr>
          <w:rFonts w:hint="eastAsia" w:ascii="黑体" w:hAnsi="黑体" w:eastAsia="黑体" w:cs="黑体"/>
          <w:b/>
          <w:bCs/>
          <w:w w:val="95"/>
          <w:kern w:val="0"/>
          <w:sz w:val="28"/>
          <w:szCs w:val="28"/>
        </w:rPr>
        <w:t>1</w:t>
      </w:r>
      <w:r>
        <w:rPr>
          <w:rFonts w:hint="eastAsia" w:ascii="黑体" w:hAnsi="黑体" w:eastAsia="黑体" w:cs="黑体"/>
          <w:b/>
          <w:bCs/>
          <w:w w:val="95"/>
          <w:kern w:val="0"/>
          <w:sz w:val="28"/>
          <w:szCs w:val="28"/>
        </w:rPr>
        <w:tab/>
      </w:r>
      <w:r>
        <w:rPr>
          <w:rFonts w:hint="eastAsia" w:ascii="黑体" w:hAnsi="黑体" w:eastAsia="黑体" w:cs="黑体"/>
          <w:b/>
          <w:bCs/>
          <w:kern w:val="0"/>
          <w:sz w:val="28"/>
          <w:szCs w:val="28"/>
        </w:rPr>
        <w:t>目的</w:t>
      </w:r>
    </w:p>
    <w:p w14:paraId="40954E7B">
      <w:pPr>
        <w:spacing w:before="140" w:line="321" w:lineRule="auto"/>
        <w:ind w:left="120" w:right="127" w:firstLine="655"/>
        <w:rPr>
          <w:rFonts w:ascii="仿宋_GB2312" w:hAnsi="仿宋_GB2312" w:eastAsia="仿宋_GB2312" w:cs="仿宋_GB2312"/>
          <w:spacing w:val="12"/>
          <w:kern w:val="0"/>
          <w:sz w:val="28"/>
          <w:szCs w:val="28"/>
        </w:rPr>
      </w:pPr>
      <w:r>
        <w:rPr>
          <w:rFonts w:hint="eastAsia" w:ascii="仿宋_GB2312" w:hAnsi="仿宋_GB2312" w:eastAsia="仿宋_GB2312" w:cs="仿宋_GB2312"/>
          <w:spacing w:val="12"/>
          <w:kern w:val="0"/>
          <w:sz w:val="28"/>
          <w:szCs w:val="28"/>
        </w:rPr>
        <w:t>在眼科掌握疾病一般诊治的基础上，学习和巩固解剖知识，夯实手术操作，特别是眼科显微手术操作的基本功，提高住院医师手术操作能力，掌握常见疾病的手术方法和步骤，同时培养团队合作精神。通过手术操作，对患者的临床手术过程进行剖析与学</w:t>
      </w:r>
      <w:r>
        <w:rPr>
          <w:rFonts w:hint="eastAsia" w:ascii="仿宋_GB2312" w:hAnsi="仿宋_GB2312" w:eastAsia="仿宋_GB2312" w:cs="仿宋_GB2312"/>
          <w:spacing w:val="8"/>
          <w:kern w:val="0"/>
          <w:sz w:val="28"/>
          <w:szCs w:val="28"/>
        </w:rPr>
        <w:t>习，贯彻“以患者为中心”的医疗服务理念，培养眼科住院医</w:t>
      </w:r>
      <w:r>
        <w:rPr>
          <w:rFonts w:hint="eastAsia" w:ascii="仿宋_GB2312" w:hAnsi="仿宋_GB2312" w:eastAsia="仿宋_GB2312" w:cs="仿宋_GB2312"/>
          <w:spacing w:val="7"/>
          <w:kern w:val="0"/>
          <w:sz w:val="28"/>
          <w:szCs w:val="28"/>
        </w:rPr>
        <w:t>师的</w:t>
      </w:r>
      <w:r>
        <w:rPr>
          <w:rFonts w:hint="eastAsia" w:ascii="仿宋_GB2312" w:hAnsi="仿宋_GB2312" w:eastAsia="仿宋_GB2312" w:cs="仿宋_GB2312"/>
          <w:spacing w:val="12"/>
          <w:kern w:val="0"/>
          <w:sz w:val="28"/>
          <w:szCs w:val="28"/>
        </w:rPr>
        <w:t>核心胜任力。</w:t>
      </w:r>
    </w:p>
    <w:p w14:paraId="1F587813">
      <w:pPr>
        <w:spacing w:before="140" w:line="321" w:lineRule="auto"/>
        <w:ind w:right="127" w:firstLine="608" w:firstLineChars="200"/>
        <w:rPr>
          <w:rFonts w:ascii="仿宋_GB2312" w:hAnsi="仿宋_GB2312" w:eastAsia="仿宋_GB2312" w:cs="仿宋_GB2312"/>
          <w:spacing w:val="12"/>
          <w:kern w:val="0"/>
          <w:sz w:val="28"/>
          <w:szCs w:val="28"/>
          <w:lang w:eastAsia="zh-Hans"/>
        </w:rPr>
      </w:pPr>
      <w:r>
        <w:rPr>
          <w:rFonts w:hint="eastAsia" w:ascii="仿宋_GB2312" w:hAnsi="仿宋_GB2312" w:eastAsia="仿宋_GB2312" w:cs="仿宋_GB2312"/>
          <w:spacing w:val="12"/>
          <w:kern w:val="0"/>
          <w:sz w:val="28"/>
          <w:szCs w:val="28"/>
          <w:lang w:eastAsia="zh-Hans"/>
        </w:rPr>
        <w:t>指导教师通过</w:t>
      </w:r>
      <w:r>
        <w:rPr>
          <w:rFonts w:hint="eastAsia" w:ascii="仿宋_GB2312" w:hAnsi="仿宋_GB2312" w:eastAsia="仿宋_GB2312" w:cs="仿宋_GB2312"/>
          <w:spacing w:val="12"/>
          <w:kern w:val="0"/>
          <w:sz w:val="28"/>
          <w:szCs w:val="28"/>
        </w:rPr>
        <w:t>提出临床操作实践问题，展示</w:t>
      </w:r>
      <w:r>
        <w:rPr>
          <w:rFonts w:hint="eastAsia" w:ascii="仿宋_GB2312" w:hAnsi="仿宋_GB2312" w:eastAsia="仿宋_GB2312" w:cs="仿宋_GB2312"/>
          <w:spacing w:val="12"/>
          <w:kern w:val="0"/>
          <w:sz w:val="28"/>
          <w:szCs w:val="28"/>
          <w:lang w:eastAsia="zh-Hans"/>
        </w:rPr>
        <w:t>和</w:t>
      </w:r>
      <w:r>
        <w:rPr>
          <w:rFonts w:hint="eastAsia" w:ascii="仿宋_GB2312" w:hAnsi="仿宋_GB2312" w:eastAsia="仿宋_GB2312" w:cs="仿宋_GB2312"/>
          <w:spacing w:val="12"/>
          <w:kern w:val="0"/>
          <w:sz w:val="28"/>
          <w:szCs w:val="28"/>
        </w:rPr>
        <w:t>示范眼科显微手术操作规范，指导住院医师术前准备、术中操作及术后观察的规范性，</w:t>
      </w:r>
      <w:r>
        <w:rPr>
          <w:rFonts w:hint="eastAsia" w:ascii="仿宋_GB2312" w:hAnsi="仿宋_GB2312" w:eastAsia="仿宋_GB2312" w:cs="仿宋_GB2312"/>
          <w:spacing w:val="12"/>
          <w:kern w:val="0"/>
          <w:sz w:val="28"/>
          <w:szCs w:val="28"/>
          <w:lang w:eastAsia="zh-Hans"/>
        </w:rPr>
        <w:t>指导住院医师</w:t>
      </w:r>
      <w:r>
        <w:rPr>
          <w:rFonts w:hint="eastAsia" w:ascii="仿宋_GB2312" w:hAnsi="仿宋_GB2312" w:eastAsia="仿宋_GB2312" w:cs="仿宋_GB2312"/>
          <w:spacing w:val="12"/>
          <w:kern w:val="0"/>
          <w:sz w:val="28"/>
          <w:szCs w:val="28"/>
        </w:rPr>
        <w:t>开展</w:t>
      </w:r>
      <w:r>
        <w:rPr>
          <w:rFonts w:hint="eastAsia" w:ascii="仿宋_GB2312" w:hAnsi="仿宋_GB2312" w:eastAsia="仿宋_GB2312" w:cs="仿宋_GB2312"/>
          <w:spacing w:val="12"/>
          <w:kern w:val="0"/>
          <w:sz w:val="28"/>
          <w:szCs w:val="28"/>
          <w:lang w:eastAsia="zh-Hans"/>
        </w:rPr>
        <w:t>临床</w:t>
      </w:r>
      <w:r>
        <w:rPr>
          <w:rFonts w:hint="eastAsia" w:ascii="仿宋_GB2312" w:hAnsi="仿宋_GB2312" w:eastAsia="仿宋_GB2312" w:cs="仿宋_GB2312"/>
          <w:spacing w:val="12"/>
          <w:kern w:val="0"/>
          <w:sz w:val="28"/>
          <w:szCs w:val="28"/>
        </w:rPr>
        <w:t>观摩</w:t>
      </w:r>
      <w:r>
        <w:rPr>
          <w:rFonts w:hint="eastAsia" w:ascii="仿宋_GB2312" w:hAnsi="仿宋_GB2312" w:eastAsia="仿宋_GB2312" w:cs="仿宋_GB2312"/>
          <w:spacing w:val="12"/>
          <w:kern w:val="0"/>
          <w:sz w:val="28"/>
          <w:szCs w:val="28"/>
          <w:lang w:eastAsia="zh-Hans"/>
        </w:rPr>
        <w:t>等</w:t>
      </w:r>
      <w:r>
        <w:rPr>
          <w:rFonts w:hint="eastAsia" w:ascii="仿宋_GB2312" w:hAnsi="仿宋_GB2312" w:eastAsia="仿宋_GB2312" w:cs="仿宋_GB2312"/>
          <w:spacing w:val="12"/>
          <w:kern w:val="0"/>
          <w:sz w:val="28"/>
          <w:szCs w:val="28"/>
        </w:rPr>
        <w:t>手术</w:t>
      </w:r>
      <w:r>
        <w:rPr>
          <w:rFonts w:hint="eastAsia" w:ascii="仿宋_GB2312" w:hAnsi="仿宋_GB2312" w:eastAsia="仿宋_GB2312" w:cs="仿宋_GB2312"/>
          <w:spacing w:val="12"/>
          <w:kern w:val="0"/>
          <w:sz w:val="28"/>
          <w:szCs w:val="28"/>
          <w:lang w:eastAsia="zh-Hans"/>
        </w:rPr>
        <w:t>操作练习</w:t>
      </w:r>
      <w:r>
        <w:rPr>
          <w:rFonts w:hint="eastAsia" w:ascii="仿宋_GB2312" w:hAnsi="仿宋_GB2312" w:eastAsia="仿宋_GB2312" w:cs="仿宋_GB2312"/>
          <w:spacing w:val="12"/>
          <w:kern w:val="0"/>
          <w:sz w:val="28"/>
          <w:szCs w:val="28"/>
        </w:rPr>
        <w:t>，</w:t>
      </w:r>
      <w:r>
        <w:rPr>
          <w:rFonts w:hint="eastAsia" w:ascii="仿宋_GB2312" w:hAnsi="仿宋_GB2312" w:eastAsia="仿宋_GB2312" w:cs="仿宋_GB2312"/>
          <w:spacing w:val="12"/>
          <w:kern w:val="0"/>
          <w:sz w:val="28"/>
          <w:szCs w:val="28"/>
          <w:lang w:eastAsia="zh-Hans"/>
        </w:rPr>
        <w:t>使得住院医师达到以下培训目标</w:t>
      </w:r>
      <w:r>
        <w:rPr>
          <w:rFonts w:hint="eastAsia" w:ascii="仿宋_GB2312" w:hAnsi="仿宋_GB2312" w:eastAsia="仿宋_GB2312" w:cs="仿宋_GB2312"/>
          <w:spacing w:val="12"/>
          <w:kern w:val="0"/>
          <w:sz w:val="28"/>
          <w:szCs w:val="28"/>
        </w:rPr>
        <w:t>：</w:t>
      </w:r>
    </w:p>
    <w:p w14:paraId="686ED5E7">
      <w:pPr>
        <w:spacing w:before="140" w:line="321" w:lineRule="auto"/>
        <w:ind w:left="120" w:right="127" w:firstLine="655"/>
        <w:rPr>
          <w:rFonts w:ascii="仿宋_GB2312" w:hAnsi="仿宋_GB2312" w:eastAsia="仿宋_GB2312" w:cs="仿宋_GB2312"/>
          <w:spacing w:val="12"/>
          <w:kern w:val="0"/>
          <w:sz w:val="28"/>
          <w:szCs w:val="28"/>
        </w:rPr>
      </w:pPr>
      <w:r>
        <w:rPr>
          <w:rFonts w:hint="eastAsia" w:ascii="仿宋_GB2312" w:hAnsi="仿宋_GB2312" w:eastAsia="仿宋_GB2312" w:cs="仿宋_GB2312"/>
          <w:spacing w:val="12"/>
          <w:kern w:val="0"/>
          <w:sz w:val="28"/>
          <w:szCs w:val="28"/>
        </w:rPr>
        <w:t>（1）掌握常见眼病的手术治疗方式及原则；</w:t>
      </w:r>
    </w:p>
    <w:p w14:paraId="34BB475C">
      <w:pPr>
        <w:spacing w:before="140" w:line="321" w:lineRule="auto"/>
        <w:ind w:left="120" w:right="127" w:firstLine="655"/>
        <w:rPr>
          <w:rFonts w:ascii="仿宋_GB2312" w:hAnsi="仿宋_GB2312" w:eastAsia="仿宋_GB2312" w:cs="仿宋_GB2312"/>
          <w:spacing w:val="12"/>
          <w:kern w:val="0"/>
          <w:sz w:val="28"/>
          <w:szCs w:val="28"/>
        </w:rPr>
      </w:pPr>
      <w:r>
        <w:rPr>
          <w:rFonts w:hint="eastAsia" w:ascii="仿宋_GB2312" w:hAnsi="仿宋_GB2312" w:eastAsia="仿宋_GB2312" w:cs="仿宋_GB2312"/>
          <w:spacing w:val="12"/>
          <w:kern w:val="0"/>
          <w:sz w:val="28"/>
          <w:szCs w:val="28"/>
        </w:rPr>
        <w:t>（2）熟悉眼科手术操作的步骤、关键内容和</w:t>
      </w:r>
      <w:r>
        <w:rPr>
          <w:rFonts w:hint="eastAsia" w:ascii="仿宋_GB2312" w:hAnsi="仿宋_GB2312" w:eastAsia="仿宋_GB2312" w:cs="仿宋_GB2312"/>
          <w:spacing w:val="12"/>
          <w:kern w:val="0"/>
          <w:sz w:val="28"/>
          <w:szCs w:val="28"/>
          <w:lang w:eastAsia="zh-Hans"/>
        </w:rPr>
        <w:t>基本的显微手术</w:t>
      </w:r>
      <w:r>
        <w:rPr>
          <w:rFonts w:hint="eastAsia" w:ascii="仿宋_GB2312" w:hAnsi="仿宋_GB2312" w:eastAsia="仿宋_GB2312" w:cs="仿宋_GB2312"/>
          <w:spacing w:val="12"/>
          <w:kern w:val="0"/>
          <w:sz w:val="28"/>
          <w:szCs w:val="28"/>
        </w:rPr>
        <w:t>技巧；</w:t>
      </w:r>
    </w:p>
    <w:p w14:paraId="3FDC839D">
      <w:pPr>
        <w:spacing w:before="140" w:line="321" w:lineRule="auto"/>
        <w:ind w:left="120" w:right="127" w:firstLine="655"/>
        <w:rPr>
          <w:rFonts w:ascii="仿宋_GB2312" w:hAnsi="仿宋_GB2312" w:eastAsia="仿宋_GB2312" w:cs="仿宋_GB2312"/>
          <w:spacing w:val="12"/>
          <w:kern w:val="0"/>
          <w:sz w:val="28"/>
          <w:szCs w:val="28"/>
        </w:rPr>
      </w:pPr>
      <w:r>
        <w:rPr>
          <w:rFonts w:hint="eastAsia" w:ascii="仿宋_GB2312" w:hAnsi="仿宋_GB2312" w:eastAsia="仿宋_GB2312" w:cs="仿宋_GB2312"/>
          <w:spacing w:val="12"/>
          <w:kern w:val="0"/>
          <w:sz w:val="28"/>
          <w:szCs w:val="28"/>
        </w:rPr>
        <w:t>（3）</w:t>
      </w:r>
      <w:r>
        <w:rPr>
          <w:rFonts w:hint="eastAsia" w:ascii="仿宋_GB2312" w:hAnsi="仿宋_GB2312" w:eastAsia="仿宋_GB2312" w:cs="仿宋_GB2312"/>
          <w:spacing w:val="12"/>
          <w:kern w:val="0"/>
          <w:sz w:val="28"/>
          <w:szCs w:val="28"/>
          <w:lang w:eastAsia="zh-Hans"/>
        </w:rPr>
        <w:t>掌握</w:t>
      </w:r>
      <w:r>
        <w:rPr>
          <w:rFonts w:hint="eastAsia" w:ascii="仿宋_GB2312" w:hAnsi="仿宋_GB2312" w:eastAsia="仿宋_GB2312" w:cs="仿宋_GB2312"/>
          <w:spacing w:val="12"/>
          <w:kern w:val="0"/>
          <w:sz w:val="28"/>
          <w:szCs w:val="28"/>
        </w:rPr>
        <w:t>术前交代病情及手术风险</w:t>
      </w:r>
      <w:r>
        <w:rPr>
          <w:rFonts w:hint="eastAsia" w:ascii="仿宋_GB2312" w:hAnsi="仿宋_GB2312" w:eastAsia="仿宋_GB2312" w:cs="仿宋_GB2312"/>
          <w:spacing w:val="12"/>
          <w:kern w:val="0"/>
          <w:sz w:val="28"/>
          <w:szCs w:val="28"/>
          <w:lang w:eastAsia="zh-Hans"/>
        </w:rPr>
        <w:t>的</w:t>
      </w:r>
      <w:r>
        <w:rPr>
          <w:rFonts w:hint="eastAsia" w:ascii="仿宋_GB2312" w:hAnsi="仿宋_GB2312" w:eastAsia="仿宋_GB2312" w:cs="仿宋_GB2312"/>
          <w:spacing w:val="12"/>
          <w:kern w:val="0"/>
          <w:sz w:val="28"/>
          <w:szCs w:val="28"/>
        </w:rPr>
        <w:t>医患沟通技能，</w:t>
      </w:r>
      <w:r>
        <w:rPr>
          <w:rFonts w:hint="eastAsia" w:ascii="仿宋_GB2312" w:hAnsi="仿宋_GB2312" w:eastAsia="仿宋_GB2312" w:cs="仿宋_GB2312"/>
          <w:spacing w:val="12"/>
          <w:kern w:val="0"/>
          <w:sz w:val="28"/>
          <w:szCs w:val="28"/>
          <w:lang w:eastAsia="zh-Hans"/>
        </w:rPr>
        <w:t>具有</w:t>
      </w:r>
      <w:r>
        <w:rPr>
          <w:rFonts w:hint="eastAsia" w:ascii="仿宋_GB2312" w:hAnsi="仿宋_GB2312" w:eastAsia="仿宋_GB2312" w:cs="仿宋_GB2312"/>
          <w:spacing w:val="12"/>
          <w:kern w:val="0"/>
          <w:sz w:val="28"/>
          <w:szCs w:val="28"/>
        </w:rPr>
        <w:t>人文关怀与职业素养；</w:t>
      </w:r>
    </w:p>
    <w:p w14:paraId="00CC4649">
      <w:pPr>
        <w:spacing w:before="140" w:line="321" w:lineRule="auto"/>
        <w:ind w:left="120" w:right="127" w:firstLine="655"/>
        <w:rPr>
          <w:rFonts w:ascii="仿宋_GB2312" w:hAnsi="仿宋_GB2312" w:eastAsia="仿宋_GB2312" w:cs="仿宋_GB2312"/>
          <w:spacing w:val="12"/>
          <w:kern w:val="0"/>
          <w:sz w:val="28"/>
          <w:szCs w:val="28"/>
          <w:lang w:eastAsia="zh-Hans"/>
        </w:rPr>
      </w:pPr>
      <w:r>
        <w:rPr>
          <w:rFonts w:hint="eastAsia" w:ascii="仿宋_GB2312" w:hAnsi="仿宋_GB2312" w:eastAsia="仿宋_GB2312" w:cs="仿宋_GB2312"/>
          <w:spacing w:val="12"/>
          <w:kern w:val="0"/>
          <w:sz w:val="28"/>
          <w:szCs w:val="28"/>
        </w:rPr>
        <w:t>（4）</w:t>
      </w:r>
      <w:r>
        <w:rPr>
          <w:rFonts w:hint="eastAsia" w:ascii="仿宋_GB2312" w:hAnsi="仿宋_GB2312" w:eastAsia="仿宋_GB2312" w:cs="仿宋_GB2312"/>
          <w:spacing w:val="12"/>
          <w:kern w:val="0"/>
          <w:sz w:val="28"/>
          <w:szCs w:val="28"/>
          <w:lang w:eastAsia="zh-Hans"/>
        </w:rPr>
        <w:t>掌握</w:t>
      </w:r>
      <w:r>
        <w:rPr>
          <w:rFonts w:hint="eastAsia" w:ascii="仿宋_GB2312" w:hAnsi="仿宋_GB2312" w:eastAsia="仿宋_GB2312" w:cs="仿宋_GB2312"/>
          <w:spacing w:val="12"/>
          <w:kern w:val="0"/>
          <w:sz w:val="28"/>
          <w:szCs w:val="28"/>
        </w:rPr>
        <w:t>眼科</w:t>
      </w:r>
      <w:r>
        <w:rPr>
          <w:rFonts w:hint="eastAsia" w:ascii="仿宋_GB2312" w:hAnsi="仿宋_GB2312" w:eastAsia="仿宋_GB2312" w:cs="仿宋_GB2312"/>
          <w:spacing w:val="12"/>
          <w:kern w:val="0"/>
          <w:sz w:val="28"/>
          <w:szCs w:val="28"/>
          <w:lang w:eastAsia="zh-Hans"/>
        </w:rPr>
        <w:t>常用手术设备、器械的连接、安装和使用</w:t>
      </w:r>
      <w:r>
        <w:rPr>
          <w:rFonts w:hint="eastAsia" w:ascii="仿宋_GB2312" w:hAnsi="仿宋_GB2312" w:eastAsia="仿宋_GB2312" w:cs="仿宋_GB2312"/>
          <w:spacing w:val="12"/>
          <w:kern w:val="0"/>
          <w:sz w:val="28"/>
          <w:szCs w:val="28"/>
        </w:rPr>
        <w:t>。</w:t>
      </w:r>
    </w:p>
    <w:p w14:paraId="5313A97F">
      <w:pPr>
        <w:tabs>
          <w:tab w:val="left" w:pos="599"/>
        </w:tabs>
        <w:spacing w:before="31"/>
        <w:ind w:left="120" w:right="2905"/>
        <w:jc w:val="left"/>
        <w:outlineLvl w:val="2"/>
        <w:rPr>
          <w:rFonts w:ascii="黑体" w:hAnsi="黑体" w:eastAsia="黑体" w:cs="黑体"/>
          <w:b/>
          <w:bCs/>
          <w:w w:val="95"/>
          <w:kern w:val="0"/>
          <w:sz w:val="28"/>
          <w:szCs w:val="28"/>
        </w:rPr>
      </w:pPr>
      <w:r>
        <w:rPr>
          <w:rFonts w:hint="eastAsia" w:ascii="黑体" w:hAnsi="黑体" w:eastAsia="黑体" w:cs="黑体"/>
          <w:b/>
          <w:bCs/>
          <w:w w:val="95"/>
          <w:kern w:val="0"/>
          <w:sz w:val="28"/>
          <w:szCs w:val="28"/>
        </w:rPr>
        <w:t>2内容与模式</w:t>
      </w:r>
    </w:p>
    <w:p w14:paraId="53649EE2">
      <w:pPr>
        <w:spacing w:before="140" w:line="321" w:lineRule="auto"/>
        <w:ind w:left="120" w:right="127" w:firstLine="655"/>
        <w:rPr>
          <w:rFonts w:ascii="仿宋_GB2312" w:hAnsi="仿宋_GB2312" w:eastAsia="仿宋_GB2312" w:cs="仿宋_GB2312"/>
          <w:spacing w:val="12"/>
          <w:kern w:val="0"/>
          <w:sz w:val="28"/>
          <w:szCs w:val="28"/>
        </w:rPr>
      </w:pPr>
      <w:r>
        <w:rPr>
          <w:rFonts w:hint="eastAsia" w:ascii="仿宋_GB2312" w:hAnsi="仿宋_GB2312" w:eastAsia="仿宋_GB2312" w:cs="仿宋_GB2312"/>
          <w:spacing w:val="12"/>
          <w:kern w:val="0"/>
          <w:sz w:val="28"/>
          <w:szCs w:val="28"/>
        </w:rPr>
        <w:t>手术操作指导的教学内容涵盖手术适应证、禁忌证、围术期处理、手术方案、手术过程（</w:t>
      </w:r>
      <w:r>
        <w:rPr>
          <w:rFonts w:hint="eastAsia" w:ascii="仿宋_GB2312" w:hAnsi="仿宋_GB2312" w:eastAsia="仿宋_GB2312" w:cs="仿宋_GB2312"/>
          <w:spacing w:val="12"/>
          <w:kern w:val="0"/>
          <w:sz w:val="28"/>
          <w:szCs w:val="28"/>
          <w:lang w:eastAsia="zh-Hans"/>
        </w:rPr>
        <w:t>手术</w:t>
      </w:r>
      <w:r>
        <w:rPr>
          <w:rFonts w:hint="eastAsia" w:ascii="仿宋_GB2312" w:hAnsi="仿宋_GB2312" w:eastAsia="仿宋_GB2312" w:cs="仿宋_GB2312"/>
          <w:spacing w:val="12"/>
          <w:kern w:val="0"/>
          <w:sz w:val="28"/>
          <w:szCs w:val="28"/>
        </w:rPr>
        <w:t>显微镜的调整、</w:t>
      </w:r>
      <w:r>
        <w:rPr>
          <w:rFonts w:hint="eastAsia" w:ascii="仿宋_GB2312" w:hAnsi="仿宋_GB2312" w:eastAsia="仿宋_GB2312" w:cs="仿宋_GB2312"/>
          <w:spacing w:val="12"/>
          <w:kern w:val="0"/>
          <w:sz w:val="28"/>
          <w:szCs w:val="28"/>
          <w:lang w:eastAsia="zh-Hans"/>
        </w:rPr>
        <w:t>超声乳化仪（简称</w:t>
      </w:r>
      <w:r>
        <w:rPr>
          <w:rFonts w:hint="eastAsia" w:ascii="仿宋_GB2312" w:hAnsi="仿宋_GB2312" w:eastAsia="仿宋_GB2312" w:cs="仿宋_GB2312"/>
          <w:spacing w:val="12"/>
          <w:kern w:val="0"/>
          <w:sz w:val="28"/>
          <w:szCs w:val="28"/>
        </w:rPr>
        <w:t>超乳机）及</w:t>
      </w:r>
      <w:r>
        <w:rPr>
          <w:rFonts w:hint="eastAsia" w:ascii="仿宋_GB2312" w:hAnsi="仿宋_GB2312" w:eastAsia="仿宋_GB2312" w:cs="仿宋_GB2312"/>
          <w:spacing w:val="12"/>
          <w:kern w:val="0"/>
          <w:sz w:val="28"/>
          <w:szCs w:val="28"/>
          <w:lang w:eastAsia="zh-Hans"/>
        </w:rPr>
        <w:t>玻璃体切除机器（简称</w:t>
      </w:r>
      <w:r>
        <w:rPr>
          <w:rFonts w:hint="eastAsia" w:ascii="仿宋_GB2312" w:hAnsi="仿宋_GB2312" w:eastAsia="仿宋_GB2312" w:cs="仿宋_GB2312"/>
          <w:spacing w:val="12"/>
          <w:kern w:val="0"/>
          <w:sz w:val="28"/>
          <w:szCs w:val="28"/>
        </w:rPr>
        <w:t>玻切机）等</w:t>
      </w:r>
      <w:r>
        <w:rPr>
          <w:rFonts w:hint="eastAsia" w:ascii="仿宋_GB2312" w:hAnsi="仿宋_GB2312" w:eastAsia="仿宋_GB2312" w:cs="仿宋_GB2312"/>
          <w:spacing w:val="12"/>
          <w:kern w:val="0"/>
          <w:sz w:val="28"/>
          <w:szCs w:val="28"/>
          <w:lang w:eastAsia="zh-Hans"/>
        </w:rPr>
        <w:t>手术仪器的连接和测试、</w:t>
      </w:r>
      <w:r>
        <w:rPr>
          <w:rFonts w:hint="eastAsia" w:ascii="仿宋_GB2312" w:hAnsi="仿宋_GB2312" w:eastAsia="仿宋_GB2312" w:cs="仿宋_GB2312"/>
          <w:spacing w:val="12"/>
          <w:kern w:val="0"/>
          <w:sz w:val="28"/>
          <w:szCs w:val="28"/>
        </w:rPr>
        <w:t>无菌操作、切口、手术步骤、操作技术要点）及并发症处理等。</w:t>
      </w:r>
    </w:p>
    <w:p w14:paraId="76AF300C">
      <w:pPr>
        <w:spacing w:before="140" w:line="321" w:lineRule="auto"/>
        <w:ind w:left="120" w:right="127" w:firstLine="655"/>
        <w:rPr>
          <w:rFonts w:ascii="仿宋_GB2312" w:hAnsi="仿宋_GB2312" w:eastAsia="仿宋_GB2312" w:cs="仿宋_GB2312"/>
          <w:spacing w:val="12"/>
          <w:kern w:val="0"/>
          <w:sz w:val="28"/>
          <w:szCs w:val="28"/>
        </w:rPr>
      </w:pPr>
      <w:r>
        <w:rPr>
          <w:rFonts w:hint="eastAsia" w:ascii="仿宋_GB2312" w:hAnsi="仿宋_GB2312" w:eastAsia="仿宋_GB2312" w:cs="仿宋_GB2312"/>
          <w:spacing w:val="12"/>
          <w:kern w:val="0"/>
          <w:sz w:val="28"/>
          <w:szCs w:val="28"/>
        </w:rPr>
        <w:t>根据手术学习分层递进的原则，包含以下4种</w:t>
      </w:r>
      <w:r>
        <w:rPr>
          <w:rFonts w:hint="eastAsia" w:ascii="仿宋_GB2312" w:hAnsi="仿宋_GB2312" w:eastAsia="仿宋_GB2312" w:cs="仿宋_GB2312"/>
          <w:spacing w:val="12"/>
          <w:kern w:val="0"/>
          <w:sz w:val="28"/>
          <w:szCs w:val="28"/>
          <w:lang w:eastAsia="zh-Hans"/>
        </w:rPr>
        <w:t>手术培训</w:t>
      </w:r>
      <w:r>
        <w:rPr>
          <w:rFonts w:hint="eastAsia" w:ascii="仿宋_GB2312" w:hAnsi="仿宋_GB2312" w:eastAsia="仿宋_GB2312" w:cs="仿宋_GB2312"/>
          <w:spacing w:val="12"/>
          <w:kern w:val="0"/>
          <w:sz w:val="28"/>
          <w:szCs w:val="28"/>
        </w:rPr>
        <w:t>模式：</w:t>
      </w:r>
    </w:p>
    <w:p w14:paraId="7605E4BA">
      <w:pPr>
        <w:spacing w:before="140" w:line="321" w:lineRule="auto"/>
        <w:ind w:left="120" w:right="127" w:firstLine="655"/>
        <w:rPr>
          <w:rFonts w:ascii="仿宋_GB2312" w:hAnsi="仿宋_GB2312" w:eastAsia="仿宋_GB2312" w:cs="仿宋_GB2312"/>
          <w:spacing w:val="12"/>
          <w:kern w:val="0"/>
          <w:sz w:val="28"/>
          <w:szCs w:val="28"/>
        </w:rPr>
      </w:pPr>
      <w:r>
        <w:rPr>
          <w:rFonts w:hint="eastAsia" w:ascii="仿宋_GB2312" w:hAnsi="仿宋_GB2312" w:eastAsia="仿宋_GB2312" w:cs="仿宋_GB2312"/>
          <w:spacing w:val="12"/>
          <w:kern w:val="0"/>
          <w:sz w:val="28"/>
          <w:szCs w:val="28"/>
        </w:rPr>
        <w:t>2.1示教模式（指导医师主操作，住院医师跟台学习）：住院医师在指导医师的指导下参加手术过程，熟悉手术步骤，了解显微</w:t>
      </w:r>
      <w:r>
        <w:rPr>
          <w:rFonts w:hint="eastAsia" w:ascii="仿宋_GB2312" w:hAnsi="仿宋_GB2312" w:eastAsia="仿宋_GB2312" w:cs="仿宋_GB2312"/>
          <w:spacing w:val="12"/>
          <w:kern w:val="0"/>
          <w:sz w:val="28"/>
          <w:szCs w:val="28"/>
          <w:lang w:eastAsia="zh-Hans"/>
        </w:rPr>
        <w:t>手术</w:t>
      </w:r>
      <w:r>
        <w:rPr>
          <w:rFonts w:hint="eastAsia" w:ascii="仿宋_GB2312" w:hAnsi="仿宋_GB2312" w:eastAsia="仿宋_GB2312" w:cs="仿宋_GB2312"/>
          <w:spacing w:val="12"/>
          <w:kern w:val="0"/>
          <w:sz w:val="28"/>
          <w:szCs w:val="28"/>
        </w:rPr>
        <w:t>操作、熟悉眼科手术显微镜、</w:t>
      </w:r>
      <w:r>
        <w:rPr>
          <w:rFonts w:hint="eastAsia" w:ascii="仿宋_GB2312" w:hAnsi="仿宋_GB2312" w:eastAsia="仿宋_GB2312" w:cs="仿宋_GB2312"/>
          <w:spacing w:val="12"/>
          <w:kern w:val="0"/>
          <w:sz w:val="28"/>
          <w:szCs w:val="28"/>
          <w:lang w:eastAsia="zh-Hans"/>
        </w:rPr>
        <w:t>显微手术器械、</w:t>
      </w:r>
      <w:r>
        <w:rPr>
          <w:rFonts w:hint="eastAsia" w:ascii="仿宋_GB2312" w:hAnsi="仿宋_GB2312" w:eastAsia="仿宋_GB2312" w:cs="仿宋_GB2312"/>
          <w:spacing w:val="12"/>
          <w:kern w:val="0"/>
          <w:sz w:val="28"/>
          <w:szCs w:val="28"/>
        </w:rPr>
        <w:t>超乳机及玻切机等操作规程。</w:t>
      </w:r>
    </w:p>
    <w:p w14:paraId="60ACC2AA">
      <w:pPr>
        <w:spacing w:before="140" w:line="321" w:lineRule="auto"/>
        <w:ind w:left="120" w:right="127" w:firstLine="655"/>
        <w:rPr>
          <w:rFonts w:ascii="仿宋_GB2312" w:hAnsi="仿宋_GB2312" w:eastAsia="仿宋_GB2312" w:cs="仿宋_GB2312"/>
          <w:spacing w:val="12"/>
          <w:kern w:val="0"/>
          <w:sz w:val="28"/>
          <w:szCs w:val="28"/>
        </w:rPr>
      </w:pPr>
      <w:r>
        <w:rPr>
          <w:rFonts w:hint="eastAsia" w:ascii="仿宋_GB2312" w:hAnsi="仿宋_GB2312" w:eastAsia="仿宋_GB2312" w:cs="仿宋_GB2312"/>
          <w:spacing w:val="12"/>
          <w:kern w:val="0"/>
          <w:sz w:val="28"/>
          <w:szCs w:val="28"/>
        </w:rPr>
        <w:t>2.2带教模式（指导医师主操作，住院医师做助手）：住院医师在指导医师的指导下完成手术操作的部分步骤。</w:t>
      </w:r>
    </w:p>
    <w:p w14:paraId="1E95502D">
      <w:pPr>
        <w:spacing w:before="140" w:line="321" w:lineRule="auto"/>
        <w:ind w:left="120" w:right="127" w:firstLine="655"/>
        <w:rPr>
          <w:rFonts w:ascii="仿宋_GB2312" w:hAnsi="仿宋_GB2312" w:eastAsia="仿宋_GB2312" w:cs="仿宋_GB2312"/>
          <w:spacing w:val="12"/>
          <w:kern w:val="0"/>
          <w:sz w:val="28"/>
          <w:szCs w:val="28"/>
        </w:rPr>
      </w:pPr>
      <w:r>
        <w:rPr>
          <w:rFonts w:hint="eastAsia" w:ascii="仿宋_GB2312" w:hAnsi="仿宋_GB2312" w:eastAsia="仿宋_GB2312" w:cs="仿宋_GB2312"/>
          <w:spacing w:val="12"/>
          <w:kern w:val="0"/>
          <w:sz w:val="28"/>
          <w:szCs w:val="28"/>
        </w:rPr>
        <w:t>2.3督导模式（住院医师操作，指导医师督导）：住院医师在指导医师的督导下独立完成手术。</w:t>
      </w:r>
    </w:p>
    <w:p w14:paraId="25A607F0">
      <w:pPr>
        <w:tabs>
          <w:tab w:val="left" w:pos="599"/>
        </w:tabs>
        <w:spacing w:before="31"/>
        <w:ind w:left="120" w:right="2905"/>
        <w:jc w:val="left"/>
        <w:outlineLvl w:val="2"/>
        <w:rPr>
          <w:rFonts w:ascii="黑体" w:hAnsi="黑体" w:eastAsia="黑体" w:cs="黑体"/>
          <w:b/>
          <w:bCs/>
          <w:w w:val="95"/>
          <w:kern w:val="0"/>
          <w:sz w:val="28"/>
          <w:szCs w:val="28"/>
        </w:rPr>
      </w:pPr>
      <w:r>
        <w:rPr>
          <w:rFonts w:hint="eastAsia" w:ascii="黑体" w:hAnsi="黑体" w:eastAsia="黑体" w:cs="黑体"/>
          <w:b/>
          <w:bCs/>
          <w:w w:val="95"/>
          <w:kern w:val="0"/>
          <w:sz w:val="28"/>
          <w:szCs w:val="28"/>
        </w:rPr>
        <w:t>3</w:t>
      </w:r>
      <w:r>
        <w:rPr>
          <w:rFonts w:hint="eastAsia" w:ascii="黑体" w:hAnsi="黑体" w:eastAsia="黑体" w:cs="黑体"/>
          <w:b/>
          <w:bCs/>
          <w:w w:val="95"/>
          <w:kern w:val="0"/>
          <w:sz w:val="28"/>
          <w:szCs w:val="28"/>
        </w:rPr>
        <w:tab/>
      </w:r>
      <w:r>
        <w:rPr>
          <w:rFonts w:hint="eastAsia" w:ascii="黑体" w:hAnsi="黑体" w:eastAsia="黑体" w:cs="黑体"/>
          <w:b/>
          <w:bCs/>
          <w:w w:val="95"/>
          <w:kern w:val="0"/>
          <w:sz w:val="28"/>
          <w:szCs w:val="28"/>
        </w:rPr>
        <w:t>组织安排</w:t>
      </w:r>
    </w:p>
    <w:p w14:paraId="70B8F7DB">
      <w:pPr>
        <w:spacing w:before="136" w:line="321" w:lineRule="auto"/>
        <w:ind w:right="245" w:firstLine="532" w:firstLineChars="200"/>
        <w:rPr>
          <w:rFonts w:ascii="仿宋_GB2312" w:hAnsi="仿宋_GB2312" w:eastAsia="仿宋_GB2312" w:cs="仿宋_GB2312"/>
          <w:w w:val="95"/>
          <w:kern w:val="0"/>
          <w:sz w:val="28"/>
          <w:szCs w:val="28"/>
        </w:rPr>
      </w:pPr>
      <w:r>
        <w:rPr>
          <w:rFonts w:hint="eastAsia" w:ascii="仿宋_GB2312" w:hAnsi="仿宋_GB2312" w:eastAsia="仿宋_GB2312" w:cs="仿宋_GB2312"/>
          <w:w w:val="95"/>
          <w:kern w:val="0"/>
          <w:sz w:val="28"/>
          <w:szCs w:val="28"/>
        </w:rPr>
        <w:t>手术操作指导由眼科专业基地根据培训细则建立相关制度要求，轮转科室制订教学计划，指导医师落实带教，明确手术操作指导的重要性，建立手术操作指导登记制度及评价反馈制度。手术操作也可作为住院医师出科考核评价指标之一。培训基地职能部门开展对手术操作指导的定期抽查，分析总结；专业基地定期开展对手术操作的质量评价，并及时反馈给各指导老师。</w:t>
      </w:r>
    </w:p>
    <w:p w14:paraId="304EA1DF">
      <w:pPr>
        <w:tabs>
          <w:tab w:val="left" w:pos="599"/>
        </w:tabs>
        <w:spacing w:before="31"/>
        <w:ind w:left="120" w:right="2905"/>
        <w:jc w:val="left"/>
        <w:outlineLvl w:val="2"/>
        <w:rPr>
          <w:rFonts w:ascii="黑体" w:hAnsi="黑体" w:eastAsia="黑体" w:cs="黑体"/>
          <w:b/>
          <w:bCs/>
          <w:w w:val="95"/>
          <w:kern w:val="0"/>
          <w:sz w:val="28"/>
          <w:szCs w:val="28"/>
          <w:lang w:eastAsia="zh-Hans"/>
        </w:rPr>
      </w:pPr>
      <w:r>
        <w:rPr>
          <w:rFonts w:hint="eastAsia" w:ascii="黑体" w:hAnsi="黑体" w:eastAsia="黑体" w:cs="黑体"/>
          <w:b/>
          <w:bCs/>
          <w:w w:val="95"/>
          <w:kern w:val="0"/>
          <w:sz w:val="28"/>
          <w:szCs w:val="28"/>
        </w:rPr>
        <w:t>4准备工作</w:t>
      </w:r>
    </w:p>
    <w:p w14:paraId="298B7DA4">
      <w:pPr>
        <w:spacing w:before="140" w:line="307" w:lineRule="auto"/>
        <w:ind w:right="265"/>
        <w:rPr>
          <w:rFonts w:ascii="楷体" w:hAnsi="楷体" w:eastAsia="楷体" w:cs="楷体"/>
          <w:b/>
          <w:bCs/>
          <w:spacing w:val="5"/>
          <w:kern w:val="0"/>
          <w:sz w:val="28"/>
          <w:szCs w:val="28"/>
        </w:rPr>
      </w:pPr>
      <w:r>
        <w:rPr>
          <w:rFonts w:hint="eastAsia" w:ascii="楷体" w:hAnsi="楷体" w:eastAsia="楷体" w:cs="楷体"/>
          <w:b/>
          <w:bCs/>
          <w:spacing w:val="5"/>
          <w:kern w:val="0"/>
          <w:sz w:val="28"/>
          <w:szCs w:val="28"/>
        </w:rPr>
        <w:t>4.1病例选择</w:t>
      </w:r>
    </w:p>
    <w:p w14:paraId="26F33519">
      <w:pPr>
        <w:spacing w:before="140" w:line="307" w:lineRule="auto"/>
        <w:ind w:left="120" w:right="265" w:firstLine="655"/>
        <w:rPr>
          <w:rFonts w:ascii="仿宋_GB2312" w:hAnsi="仿宋_GB2312" w:eastAsia="仿宋_GB2312" w:cs="仿宋_GB2312"/>
          <w:spacing w:val="5"/>
          <w:kern w:val="0"/>
          <w:sz w:val="28"/>
          <w:szCs w:val="28"/>
        </w:rPr>
      </w:pPr>
      <w:r>
        <w:rPr>
          <w:rFonts w:hint="eastAsia" w:ascii="仿宋_GB2312" w:hAnsi="仿宋_GB2312" w:eastAsia="仿宋_GB2312" w:cs="仿宋_GB2312"/>
          <w:spacing w:val="5"/>
          <w:kern w:val="0"/>
          <w:sz w:val="28"/>
          <w:szCs w:val="28"/>
        </w:rPr>
        <w:t>（1）应为专业培训细则中要求住院医师完成或参加的手术操作项目。</w:t>
      </w:r>
    </w:p>
    <w:p w14:paraId="12FD30D4">
      <w:pPr>
        <w:spacing w:before="140" w:line="307" w:lineRule="auto"/>
        <w:ind w:left="120" w:right="265" w:firstLine="655"/>
        <w:rPr>
          <w:rFonts w:ascii="仿宋_GB2312" w:hAnsi="仿宋_GB2312" w:eastAsia="仿宋_GB2312" w:cs="仿宋_GB2312"/>
          <w:spacing w:val="5"/>
          <w:kern w:val="0"/>
          <w:sz w:val="28"/>
          <w:szCs w:val="28"/>
        </w:rPr>
      </w:pPr>
      <w:r>
        <w:rPr>
          <w:rFonts w:hint="eastAsia" w:ascii="仿宋_GB2312" w:hAnsi="仿宋_GB2312" w:eastAsia="仿宋_GB2312" w:cs="仿宋_GB2312"/>
          <w:spacing w:val="5"/>
          <w:kern w:val="0"/>
          <w:sz w:val="28"/>
          <w:szCs w:val="28"/>
        </w:rPr>
        <w:t>（2）首选住院医师主管的手术病例。</w:t>
      </w:r>
    </w:p>
    <w:p w14:paraId="550CE9FC">
      <w:pPr>
        <w:spacing w:before="140" w:line="307" w:lineRule="auto"/>
        <w:ind w:left="120" w:right="265" w:firstLine="655"/>
        <w:rPr>
          <w:rFonts w:ascii="仿宋_GB2312" w:hAnsi="仿宋_GB2312" w:eastAsia="仿宋_GB2312" w:cs="仿宋_GB2312"/>
          <w:spacing w:val="5"/>
          <w:kern w:val="0"/>
          <w:sz w:val="28"/>
          <w:szCs w:val="28"/>
        </w:rPr>
      </w:pPr>
      <w:r>
        <w:rPr>
          <w:rFonts w:hint="eastAsia" w:ascii="仿宋_GB2312" w:hAnsi="仿宋_GB2312" w:eastAsia="仿宋_GB2312" w:cs="仿宋_GB2312"/>
          <w:spacing w:val="5"/>
          <w:kern w:val="0"/>
          <w:sz w:val="28"/>
          <w:szCs w:val="28"/>
        </w:rPr>
        <w:t>（3）应为典型病例、诊断明确、手术指征充分，同时患者病情相对稳定、预测手术风险较低。</w:t>
      </w:r>
    </w:p>
    <w:p w14:paraId="46B1366B">
      <w:pPr>
        <w:spacing w:before="140" w:line="307" w:lineRule="auto"/>
        <w:ind w:left="120" w:right="265" w:firstLine="655"/>
        <w:rPr>
          <w:rFonts w:ascii="仿宋_GB2312" w:hAnsi="仿宋_GB2312" w:eastAsia="仿宋_GB2312" w:cs="仿宋_GB2312"/>
          <w:spacing w:val="5"/>
          <w:kern w:val="0"/>
          <w:sz w:val="28"/>
          <w:szCs w:val="28"/>
        </w:rPr>
      </w:pPr>
      <w:r>
        <w:rPr>
          <w:rFonts w:hint="eastAsia" w:ascii="仿宋_GB2312" w:hAnsi="仿宋_GB2312" w:eastAsia="仿宋_GB2312" w:cs="仿宋_GB2312"/>
          <w:spacing w:val="5"/>
          <w:kern w:val="0"/>
          <w:sz w:val="28"/>
          <w:szCs w:val="28"/>
        </w:rPr>
        <w:t>（4）所选患者的手术方案合理且符合本专业的诊疗规范。</w:t>
      </w:r>
    </w:p>
    <w:p w14:paraId="715EBF06">
      <w:pPr>
        <w:spacing w:before="140" w:line="307" w:lineRule="auto"/>
        <w:ind w:right="265"/>
        <w:rPr>
          <w:rFonts w:ascii="楷体" w:hAnsi="楷体" w:eastAsia="楷体" w:cs="楷体"/>
          <w:b/>
          <w:bCs/>
          <w:spacing w:val="5"/>
          <w:kern w:val="0"/>
          <w:sz w:val="28"/>
          <w:szCs w:val="28"/>
        </w:rPr>
      </w:pPr>
      <w:r>
        <w:rPr>
          <w:rFonts w:hint="eastAsia" w:ascii="楷体" w:hAnsi="楷体" w:eastAsia="楷体" w:cs="楷体"/>
          <w:b/>
          <w:bCs/>
          <w:spacing w:val="5"/>
          <w:kern w:val="0"/>
          <w:sz w:val="28"/>
          <w:szCs w:val="28"/>
        </w:rPr>
        <w:t>4.2指导医师的准备</w:t>
      </w:r>
    </w:p>
    <w:p w14:paraId="051F7474">
      <w:pPr>
        <w:spacing w:before="140" w:line="307" w:lineRule="auto"/>
        <w:ind w:left="120" w:right="265" w:firstLine="655"/>
        <w:rPr>
          <w:rFonts w:ascii="仿宋_GB2312" w:hAnsi="仿宋_GB2312" w:eastAsia="仿宋_GB2312" w:cs="仿宋_GB2312"/>
          <w:spacing w:val="5"/>
          <w:kern w:val="0"/>
          <w:sz w:val="28"/>
          <w:szCs w:val="28"/>
        </w:rPr>
      </w:pPr>
      <w:r>
        <w:rPr>
          <w:rFonts w:hint="eastAsia" w:ascii="仿宋_GB2312" w:hAnsi="仿宋_GB2312" w:eastAsia="仿宋_GB2312" w:cs="仿宋_GB2312"/>
          <w:spacing w:val="5"/>
          <w:kern w:val="0"/>
          <w:sz w:val="28"/>
          <w:szCs w:val="28"/>
        </w:rPr>
        <w:t>（1）明确培训细则中对住院医师完成或参加手术操作种类和例数的具体要求。</w:t>
      </w:r>
    </w:p>
    <w:p w14:paraId="77E186CC">
      <w:pPr>
        <w:spacing w:before="140" w:line="307" w:lineRule="auto"/>
        <w:ind w:left="120" w:right="265" w:firstLine="655"/>
        <w:rPr>
          <w:rFonts w:ascii="仿宋_GB2312" w:hAnsi="仿宋_GB2312" w:eastAsia="仿宋_GB2312" w:cs="仿宋_GB2312"/>
          <w:spacing w:val="5"/>
          <w:kern w:val="0"/>
          <w:sz w:val="28"/>
          <w:szCs w:val="28"/>
        </w:rPr>
      </w:pPr>
      <w:r>
        <w:rPr>
          <w:rFonts w:hint="eastAsia" w:ascii="仿宋_GB2312" w:hAnsi="仿宋_GB2312" w:eastAsia="仿宋_GB2312" w:cs="仿宋_GB2312"/>
          <w:spacing w:val="5"/>
          <w:kern w:val="0"/>
          <w:sz w:val="28"/>
          <w:szCs w:val="28"/>
        </w:rPr>
        <w:t>（2）为住院医师选择适合手术操作指导的手术病例，充分评估手术和带教存在的风险，做好预案。</w:t>
      </w:r>
    </w:p>
    <w:p w14:paraId="53FC4C6C">
      <w:pPr>
        <w:spacing w:before="140" w:line="307" w:lineRule="auto"/>
        <w:ind w:left="120" w:right="265" w:firstLine="655"/>
        <w:rPr>
          <w:rFonts w:ascii="仿宋_GB2312" w:hAnsi="仿宋_GB2312" w:eastAsia="仿宋_GB2312" w:cs="仿宋_GB2312"/>
          <w:spacing w:val="5"/>
          <w:kern w:val="0"/>
          <w:sz w:val="28"/>
          <w:szCs w:val="28"/>
        </w:rPr>
      </w:pPr>
      <w:r>
        <w:rPr>
          <w:rFonts w:hint="eastAsia" w:ascii="仿宋_GB2312" w:hAnsi="仿宋_GB2312" w:eastAsia="仿宋_GB2312" w:cs="仿宋_GB2312"/>
          <w:spacing w:val="5"/>
          <w:kern w:val="0"/>
          <w:sz w:val="28"/>
          <w:szCs w:val="28"/>
        </w:rPr>
        <w:t>（3）为住院医师推荐相关的解剖学、手术学教材、书刊或手术图谱。</w:t>
      </w:r>
    </w:p>
    <w:p w14:paraId="1617698B">
      <w:pPr>
        <w:spacing w:before="140" w:line="307" w:lineRule="auto"/>
        <w:ind w:left="120" w:right="265" w:firstLine="655"/>
        <w:rPr>
          <w:rFonts w:ascii="仿宋_GB2312" w:hAnsi="仿宋_GB2312" w:eastAsia="仿宋_GB2312" w:cs="仿宋_GB2312"/>
          <w:spacing w:val="5"/>
          <w:kern w:val="0"/>
          <w:sz w:val="28"/>
          <w:szCs w:val="28"/>
        </w:rPr>
      </w:pPr>
      <w:r>
        <w:rPr>
          <w:rFonts w:hint="eastAsia" w:ascii="仿宋_GB2312" w:hAnsi="仿宋_GB2312" w:eastAsia="仿宋_GB2312" w:cs="仿宋_GB2312"/>
          <w:spacing w:val="5"/>
          <w:kern w:val="0"/>
          <w:sz w:val="28"/>
          <w:szCs w:val="28"/>
        </w:rPr>
        <w:t>（4）带教住院医师熟悉手术显微镜、超乳机、玻切机的操作细则，指导住院医师熟悉显微操作，掌握手术显微镜、超乳机、玻切机的使用方法，比如仪器基本工作原理、仪器连接安装自检步骤、脚踏不同档位的作用等。</w:t>
      </w:r>
    </w:p>
    <w:p w14:paraId="117D88B9">
      <w:pPr>
        <w:spacing w:before="140" w:line="307" w:lineRule="auto"/>
        <w:ind w:left="120" w:right="265" w:firstLine="655"/>
        <w:rPr>
          <w:rFonts w:ascii="仿宋_GB2312" w:hAnsi="仿宋_GB2312" w:eastAsia="仿宋_GB2312" w:cs="仿宋_GB2312"/>
          <w:spacing w:val="5"/>
          <w:kern w:val="0"/>
          <w:sz w:val="28"/>
          <w:szCs w:val="28"/>
        </w:rPr>
      </w:pPr>
      <w:r>
        <w:rPr>
          <w:rFonts w:hint="eastAsia" w:ascii="仿宋_GB2312" w:hAnsi="仿宋_GB2312" w:eastAsia="仿宋_GB2312" w:cs="仿宋_GB2312"/>
          <w:spacing w:val="5"/>
          <w:kern w:val="0"/>
          <w:sz w:val="28"/>
          <w:szCs w:val="28"/>
        </w:rPr>
        <w:t>（5）指导住院医师完善术前检查和准备工作。</w:t>
      </w:r>
    </w:p>
    <w:p w14:paraId="36345880">
      <w:pPr>
        <w:spacing w:before="140" w:line="307" w:lineRule="auto"/>
        <w:ind w:left="120" w:right="265" w:firstLine="655"/>
        <w:rPr>
          <w:rFonts w:ascii="仿宋_GB2312" w:hAnsi="仿宋_GB2312" w:eastAsia="仿宋_GB2312" w:cs="仿宋_GB2312"/>
          <w:spacing w:val="5"/>
          <w:kern w:val="0"/>
          <w:sz w:val="28"/>
          <w:szCs w:val="28"/>
        </w:rPr>
      </w:pPr>
      <w:r>
        <w:rPr>
          <w:rFonts w:hint="eastAsia" w:ascii="仿宋_GB2312" w:hAnsi="仿宋_GB2312" w:eastAsia="仿宋_GB2312" w:cs="仿宋_GB2312"/>
          <w:spacing w:val="5"/>
          <w:kern w:val="0"/>
          <w:sz w:val="28"/>
          <w:szCs w:val="28"/>
        </w:rPr>
        <w:t>（6）组织术前讨论，针对手术操作指导病例资料对住院医师进行提问，以确定住院医师对手术适应证、禁忌证及手术方案的掌握程度。</w:t>
      </w:r>
    </w:p>
    <w:p w14:paraId="7E58558B">
      <w:pPr>
        <w:spacing w:before="140" w:line="307" w:lineRule="auto"/>
        <w:ind w:left="120" w:right="265" w:firstLine="655"/>
        <w:rPr>
          <w:rFonts w:ascii="仿宋_GB2312" w:hAnsi="仿宋_GB2312" w:eastAsia="仿宋_GB2312" w:cs="仿宋_GB2312"/>
          <w:spacing w:val="5"/>
          <w:kern w:val="0"/>
          <w:sz w:val="28"/>
          <w:szCs w:val="28"/>
        </w:rPr>
      </w:pPr>
      <w:r>
        <w:rPr>
          <w:rFonts w:hint="eastAsia" w:ascii="仿宋_GB2312" w:hAnsi="仿宋_GB2312" w:eastAsia="仿宋_GB2312" w:cs="仿宋_GB2312"/>
          <w:spacing w:val="5"/>
          <w:kern w:val="0"/>
          <w:sz w:val="28"/>
          <w:szCs w:val="28"/>
        </w:rPr>
        <w:t>（7）根据住院医师参加同类手术的例数和当前技能水平，确定手术操作指导模式。</w:t>
      </w:r>
    </w:p>
    <w:p w14:paraId="3F1D95C6">
      <w:pPr>
        <w:spacing w:before="140" w:line="307" w:lineRule="auto"/>
        <w:ind w:left="120" w:right="265" w:firstLine="655"/>
        <w:rPr>
          <w:rFonts w:ascii="仿宋_GB2312" w:hAnsi="仿宋_GB2312" w:eastAsia="仿宋_GB2312" w:cs="仿宋_GB2312"/>
          <w:spacing w:val="5"/>
          <w:kern w:val="0"/>
          <w:sz w:val="28"/>
          <w:szCs w:val="28"/>
        </w:rPr>
      </w:pPr>
      <w:r>
        <w:rPr>
          <w:rFonts w:hint="eastAsia" w:ascii="仿宋_GB2312" w:hAnsi="仿宋_GB2312" w:eastAsia="仿宋_GB2312" w:cs="仿宋_GB2312"/>
          <w:spacing w:val="5"/>
          <w:kern w:val="0"/>
          <w:sz w:val="28"/>
          <w:szCs w:val="28"/>
        </w:rPr>
        <w:t>（8）指导住院医师完成与患者和（或）家属的手术谈话签字。</w:t>
      </w:r>
    </w:p>
    <w:p w14:paraId="37456A36">
      <w:pPr>
        <w:spacing w:before="140" w:line="307" w:lineRule="auto"/>
        <w:ind w:right="265"/>
        <w:rPr>
          <w:rFonts w:ascii="楷体" w:hAnsi="楷体" w:eastAsia="楷体" w:cs="楷体"/>
          <w:b/>
          <w:bCs/>
          <w:spacing w:val="5"/>
          <w:kern w:val="0"/>
          <w:sz w:val="28"/>
          <w:szCs w:val="28"/>
        </w:rPr>
      </w:pPr>
      <w:r>
        <w:rPr>
          <w:rFonts w:hint="eastAsia" w:ascii="楷体" w:hAnsi="楷体" w:eastAsia="楷体" w:cs="楷体"/>
          <w:b/>
          <w:bCs/>
          <w:spacing w:val="5"/>
          <w:kern w:val="0"/>
          <w:sz w:val="28"/>
          <w:szCs w:val="28"/>
        </w:rPr>
        <w:t>4.3住院医师的准备</w:t>
      </w:r>
    </w:p>
    <w:p w14:paraId="5B6451FF">
      <w:pPr>
        <w:spacing w:before="140" w:line="307" w:lineRule="auto"/>
        <w:ind w:left="120" w:right="265" w:firstLine="655"/>
        <w:rPr>
          <w:rFonts w:ascii="仿宋_GB2312" w:hAnsi="仿宋_GB2312" w:eastAsia="仿宋_GB2312" w:cs="仿宋_GB2312"/>
          <w:spacing w:val="5"/>
          <w:kern w:val="0"/>
          <w:sz w:val="28"/>
          <w:szCs w:val="28"/>
        </w:rPr>
      </w:pPr>
      <w:r>
        <w:rPr>
          <w:rFonts w:hint="eastAsia" w:ascii="仿宋_GB2312" w:hAnsi="仿宋_GB2312" w:eastAsia="仿宋_GB2312" w:cs="仿宋_GB2312"/>
          <w:spacing w:val="5"/>
          <w:kern w:val="0"/>
          <w:sz w:val="28"/>
          <w:szCs w:val="28"/>
        </w:rPr>
        <w:t>（1）熟悉患者病情，掌握手术适应证，初步制订手术方案。</w:t>
      </w:r>
    </w:p>
    <w:p w14:paraId="6B9E8EE0">
      <w:pPr>
        <w:spacing w:before="140" w:line="307" w:lineRule="auto"/>
        <w:ind w:left="120" w:right="265" w:firstLine="655"/>
        <w:rPr>
          <w:rFonts w:ascii="仿宋_GB2312" w:hAnsi="仿宋_GB2312" w:eastAsia="仿宋_GB2312" w:cs="仿宋_GB2312"/>
          <w:spacing w:val="5"/>
          <w:kern w:val="0"/>
          <w:sz w:val="28"/>
          <w:szCs w:val="28"/>
        </w:rPr>
      </w:pPr>
      <w:r>
        <w:rPr>
          <w:rFonts w:hint="eastAsia" w:ascii="仿宋_GB2312" w:hAnsi="仿宋_GB2312" w:eastAsia="仿宋_GB2312" w:cs="仿宋_GB2312"/>
          <w:spacing w:val="5"/>
          <w:kern w:val="0"/>
          <w:sz w:val="28"/>
          <w:szCs w:val="28"/>
        </w:rPr>
        <w:t>（2）复习手术相关的解剖学和手术学知识，了解手术显微镜、超乳机、玻切机等必要手术器械的工作原理。</w:t>
      </w:r>
    </w:p>
    <w:p w14:paraId="7EB0D499">
      <w:pPr>
        <w:spacing w:before="140" w:line="307" w:lineRule="auto"/>
        <w:ind w:left="120" w:right="265" w:firstLine="655"/>
        <w:rPr>
          <w:rFonts w:ascii="仿宋_GB2312" w:hAnsi="仿宋_GB2312" w:eastAsia="仿宋_GB2312" w:cs="仿宋_GB2312"/>
          <w:spacing w:val="5"/>
          <w:kern w:val="0"/>
          <w:sz w:val="28"/>
          <w:szCs w:val="28"/>
        </w:rPr>
      </w:pPr>
      <w:r>
        <w:rPr>
          <w:rFonts w:hint="eastAsia" w:ascii="仿宋_GB2312" w:hAnsi="仿宋_GB2312" w:eastAsia="仿宋_GB2312" w:cs="仿宋_GB2312"/>
          <w:spacing w:val="5"/>
          <w:kern w:val="0"/>
          <w:sz w:val="28"/>
          <w:szCs w:val="28"/>
        </w:rPr>
        <w:t>（3）完善术前的必要准备。</w:t>
      </w:r>
    </w:p>
    <w:p w14:paraId="3FE85E35">
      <w:pPr>
        <w:spacing w:before="140" w:line="307" w:lineRule="auto"/>
        <w:ind w:left="120" w:right="265" w:firstLine="655"/>
        <w:rPr>
          <w:rFonts w:ascii="仿宋_GB2312" w:hAnsi="仿宋_GB2312" w:eastAsia="仿宋_GB2312" w:cs="仿宋_GB2312"/>
          <w:spacing w:val="5"/>
          <w:kern w:val="0"/>
          <w:sz w:val="28"/>
          <w:szCs w:val="28"/>
        </w:rPr>
      </w:pPr>
      <w:r>
        <w:rPr>
          <w:rFonts w:hint="eastAsia" w:ascii="仿宋_GB2312" w:hAnsi="仿宋_GB2312" w:eastAsia="仿宋_GB2312" w:cs="仿宋_GB2312"/>
          <w:spacing w:val="5"/>
          <w:kern w:val="0"/>
          <w:sz w:val="28"/>
          <w:szCs w:val="28"/>
        </w:rPr>
        <w:t>（4）认真书写术前小结等文字资料。</w:t>
      </w:r>
    </w:p>
    <w:p w14:paraId="0D61482B">
      <w:pPr>
        <w:spacing w:before="140" w:line="307" w:lineRule="auto"/>
        <w:ind w:left="120" w:right="265" w:firstLine="655"/>
        <w:rPr>
          <w:rFonts w:ascii="仿宋_GB2312" w:hAnsi="仿宋_GB2312" w:eastAsia="仿宋_GB2312" w:cs="仿宋_GB2312"/>
          <w:spacing w:val="5"/>
          <w:kern w:val="0"/>
          <w:sz w:val="28"/>
          <w:szCs w:val="28"/>
        </w:rPr>
      </w:pPr>
      <w:r>
        <w:rPr>
          <w:rFonts w:hint="eastAsia" w:ascii="仿宋_GB2312" w:hAnsi="仿宋_GB2312" w:eastAsia="仿宋_GB2312" w:cs="仿宋_GB2312"/>
          <w:spacing w:val="5"/>
          <w:kern w:val="0"/>
          <w:sz w:val="28"/>
          <w:szCs w:val="28"/>
        </w:rPr>
        <w:t>（5）参加术前讨论会，进一步明确手术方案及住院医师在手术中担任的角色，住院医师达到独立完成操作阶段，应详细汇报手术具体步骤和注意事项等。</w:t>
      </w:r>
    </w:p>
    <w:p w14:paraId="25014C24">
      <w:pPr>
        <w:spacing w:before="140" w:line="307" w:lineRule="auto"/>
        <w:ind w:left="120" w:right="265" w:firstLine="655"/>
        <w:rPr>
          <w:rFonts w:ascii="仿宋_GB2312" w:hAnsi="仿宋_GB2312" w:eastAsia="仿宋_GB2312" w:cs="仿宋_GB2312"/>
          <w:spacing w:val="5"/>
          <w:kern w:val="0"/>
          <w:sz w:val="28"/>
          <w:szCs w:val="28"/>
        </w:rPr>
      </w:pPr>
      <w:r>
        <w:rPr>
          <w:rFonts w:hint="eastAsia" w:ascii="仿宋_GB2312" w:hAnsi="仿宋_GB2312" w:eastAsia="仿宋_GB2312" w:cs="仿宋_GB2312"/>
          <w:spacing w:val="5"/>
          <w:kern w:val="0"/>
          <w:sz w:val="28"/>
          <w:szCs w:val="28"/>
        </w:rPr>
        <w:t>（6）在指导医师的指导下完成与患者和（或）家属的手术谈话签字。</w:t>
      </w:r>
    </w:p>
    <w:p w14:paraId="6F763D45">
      <w:pPr>
        <w:spacing w:before="140" w:line="307" w:lineRule="auto"/>
        <w:ind w:right="265"/>
        <w:rPr>
          <w:rFonts w:ascii="仿宋_GB2312" w:hAnsi="仿宋_GB2312" w:eastAsia="仿宋_GB2312" w:cs="仿宋_GB2312"/>
          <w:spacing w:val="5"/>
          <w:kern w:val="0"/>
          <w:sz w:val="28"/>
          <w:szCs w:val="28"/>
        </w:rPr>
      </w:pPr>
      <w:r>
        <w:rPr>
          <w:rFonts w:hint="eastAsia" w:ascii="楷体" w:hAnsi="楷体" w:eastAsia="楷体" w:cs="楷体"/>
          <w:b/>
          <w:bCs/>
          <w:spacing w:val="5"/>
          <w:kern w:val="0"/>
          <w:sz w:val="28"/>
          <w:szCs w:val="28"/>
        </w:rPr>
        <w:t>4.4其他准备：</w:t>
      </w:r>
      <w:r>
        <w:rPr>
          <w:rFonts w:hint="eastAsia" w:ascii="仿宋_GB2312" w:hAnsi="仿宋_GB2312" w:eastAsia="仿宋_GB2312" w:cs="仿宋_GB2312"/>
          <w:spacing w:val="5"/>
          <w:kern w:val="0"/>
          <w:sz w:val="28"/>
          <w:szCs w:val="28"/>
        </w:rPr>
        <w:t>住院医师在指导医师的指导下完成术前相关的工作。</w:t>
      </w:r>
    </w:p>
    <w:p w14:paraId="71C744C4">
      <w:pPr>
        <w:spacing w:before="140" w:line="307" w:lineRule="auto"/>
        <w:ind w:left="120" w:right="265" w:firstLine="655"/>
        <w:rPr>
          <w:rFonts w:ascii="仿宋_GB2312" w:hAnsi="仿宋_GB2312" w:eastAsia="仿宋_GB2312" w:cs="仿宋_GB2312"/>
          <w:spacing w:val="5"/>
          <w:kern w:val="0"/>
          <w:sz w:val="28"/>
          <w:szCs w:val="28"/>
        </w:rPr>
      </w:pPr>
      <w:r>
        <w:rPr>
          <w:rFonts w:hint="eastAsia" w:ascii="仿宋_GB2312" w:hAnsi="仿宋_GB2312" w:eastAsia="仿宋_GB2312" w:cs="仿宋_GB2312"/>
          <w:spacing w:val="5"/>
          <w:kern w:val="0"/>
          <w:sz w:val="28"/>
          <w:szCs w:val="28"/>
        </w:rPr>
        <w:t>（1）下达手术通知单、术前医嘱。</w:t>
      </w:r>
    </w:p>
    <w:p w14:paraId="71AA1EC4">
      <w:pPr>
        <w:spacing w:before="140" w:line="307" w:lineRule="auto"/>
        <w:ind w:left="120" w:right="265" w:firstLine="655"/>
        <w:rPr>
          <w:rFonts w:ascii="仿宋_GB2312" w:hAnsi="仿宋_GB2312" w:eastAsia="仿宋_GB2312" w:cs="仿宋_GB2312"/>
          <w:spacing w:val="5"/>
          <w:kern w:val="0"/>
          <w:sz w:val="28"/>
          <w:szCs w:val="28"/>
        </w:rPr>
      </w:pPr>
      <w:r>
        <w:rPr>
          <w:rFonts w:hint="eastAsia" w:ascii="仿宋_GB2312" w:hAnsi="仿宋_GB2312" w:eastAsia="仿宋_GB2312" w:cs="仿宋_GB2312"/>
          <w:spacing w:val="5"/>
          <w:kern w:val="0"/>
          <w:sz w:val="28"/>
          <w:szCs w:val="28"/>
        </w:rPr>
        <w:t>（2）准备完成手术所需要的特殊器材、耗材。</w:t>
      </w:r>
    </w:p>
    <w:p w14:paraId="5A21E74C">
      <w:pPr>
        <w:spacing w:before="140" w:line="307" w:lineRule="auto"/>
        <w:ind w:left="120" w:right="265" w:firstLine="655"/>
        <w:rPr>
          <w:rFonts w:ascii="仿宋_GB2312" w:hAnsi="仿宋_GB2312" w:eastAsia="仿宋_GB2312" w:cs="仿宋_GB2312"/>
          <w:spacing w:val="5"/>
          <w:kern w:val="0"/>
          <w:sz w:val="28"/>
          <w:szCs w:val="28"/>
        </w:rPr>
      </w:pPr>
      <w:r>
        <w:rPr>
          <w:rFonts w:hint="eastAsia" w:ascii="仿宋_GB2312" w:hAnsi="仿宋_GB2312" w:eastAsia="仿宋_GB2312" w:cs="仿宋_GB2312"/>
          <w:spacing w:val="5"/>
          <w:kern w:val="0"/>
          <w:sz w:val="28"/>
          <w:szCs w:val="28"/>
        </w:rPr>
        <w:t>（3）术前根据病情，与麻醉医师、手术室护士进行针对性沟通。</w:t>
      </w:r>
    </w:p>
    <w:p w14:paraId="77EB2200">
      <w:pPr>
        <w:spacing w:before="140" w:line="307" w:lineRule="auto"/>
        <w:ind w:left="120" w:right="265" w:firstLine="655"/>
        <w:rPr>
          <w:rFonts w:ascii="仿宋_GB2312" w:hAnsi="仿宋_GB2312" w:eastAsia="仿宋_GB2312" w:cs="仿宋_GB2312"/>
          <w:spacing w:val="5"/>
          <w:kern w:val="0"/>
          <w:sz w:val="28"/>
          <w:szCs w:val="28"/>
        </w:rPr>
      </w:pPr>
      <w:r>
        <w:rPr>
          <w:rFonts w:hint="eastAsia" w:ascii="仿宋_GB2312" w:hAnsi="仿宋_GB2312" w:eastAsia="仿宋_GB2312" w:cs="仿宋_GB2312"/>
          <w:spacing w:val="5"/>
          <w:kern w:val="0"/>
          <w:sz w:val="28"/>
          <w:szCs w:val="28"/>
          <w:lang w:eastAsia="zh-Hans"/>
        </w:rPr>
        <w:t>以上是临床相关的手术操作指导的准备工作，并应做好循序渐进的练习计划及评价反馈指标。</w:t>
      </w:r>
    </w:p>
    <w:p w14:paraId="5456AB82">
      <w:pPr>
        <w:tabs>
          <w:tab w:val="left" w:pos="719"/>
        </w:tabs>
        <w:spacing w:before="53"/>
        <w:jc w:val="left"/>
        <w:outlineLvl w:val="2"/>
        <w:rPr>
          <w:rFonts w:ascii="黑体" w:hAnsi="黑体" w:eastAsia="黑体" w:cs="黑体"/>
          <w:b/>
          <w:bCs/>
          <w:kern w:val="0"/>
          <w:sz w:val="28"/>
          <w:szCs w:val="28"/>
        </w:rPr>
      </w:pPr>
      <w:r>
        <w:rPr>
          <w:rFonts w:hint="eastAsia" w:ascii="黑体" w:hAnsi="黑体" w:eastAsia="黑体" w:cs="黑体"/>
          <w:b/>
          <w:bCs/>
          <w:w w:val="95"/>
          <w:kern w:val="0"/>
          <w:sz w:val="28"/>
          <w:szCs w:val="28"/>
        </w:rPr>
        <w:t>5</w:t>
      </w:r>
      <w:r>
        <w:rPr>
          <w:rFonts w:hint="eastAsia" w:ascii="黑体" w:hAnsi="黑体" w:eastAsia="黑体" w:cs="黑体"/>
          <w:b/>
          <w:bCs/>
          <w:w w:val="95"/>
          <w:kern w:val="0"/>
          <w:sz w:val="28"/>
          <w:szCs w:val="28"/>
        </w:rPr>
        <w:tab/>
      </w:r>
      <w:r>
        <w:rPr>
          <w:rFonts w:hint="eastAsia" w:ascii="黑体" w:hAnsi="黑体" w:eastAsia="黑体" w:cs="黑体"/>
          <w:b/>
          <w:bCs/>
          <w:kern w:val="0"/>
          <w:sz w:val="28"/>
          <w:szCs w:val="28"/>
        </w:rPr>
        <w:t>实施</w:t>
      </w:r>
    </w:p>
    <w:p w14:paraId="3FCA4021">
      <w:pPr>
        <w:spacing w:before="140" w:line="307" w:lineRule="auto"/>
        <w:ind w:right="265"/>
        <w:rPr>
          <w:rFonts w:ascii="仿宋_GB2312" w:hAnsi="仿宋_GB2312" w:eastAsia="仿宋_GB2312" w:cs="仿宋_GB2312"/>
          <w:spacing w:val="5"/>
          <w:kern w:val="0"/>
          <w:sz w:val="28"/>
          <w:szCs w:val="28"/>
        </w:rPr>
      </w:pPr>
      <w:bookmarkStart w:id="0" w:name="5.1__教学查房实施的总体介绍"/>
      <w:bookmarkEnd w:id="0"/>
      <w:r>
        <w:rPr>
          <w:rFonts w:hint="eastAsia" w:ascii="楷体" w:hAnsi="楷体" w:eastAsia="楷体" w:cs="楷体"/>
          <w:b/>
          <w:bCs/>
          <w:spacing w:val="5"/>
          <w:kern w:val="0"/>
          <w:sz w:val="28"/>
          <w:szCs w:val="28"/>
        </w:rPr>
        <w:t>5.1手术准备阶段：</w:t>
      </w:r>
      <w:r>
        <w:rPr>
          <w:rFonts w:hint="eastAsia" w:ascii="仿宋_GB2312" w:hAnsi="仿宋_GB2312" w:eastAsia="仿宋_GB2312" w:cs="仿宋_GB2312"/>
          <w:spacing w:val="5"/>
          <w:kern w:val="0"/>
          <w:sz w:val="28"/>
          <w:szCs w:val="28"/>
        </w:rPr>
        <w:t>手术准备阶段的事项及要点，在指导医师的指导下由住院医师本人完成。</w:t>
      </w:r>
    </w:p>
    <w:p w14:paraId="4313BFE7">
      <w:pPr>
        <w:spacing w:before="140" w:line="307" w:lineRule="auto"/>
        <w:ind w:left="120" w:right="265" w:firstLine="655"/>
        <w:rPr>
          <w:rFonts w:ascii="仿宋_GB2312" w:hAnsi="仿宋_GB2312" w:eastAsia="仿宋_GB2312" w:cs="仿宋_GB2312"/>
          <w:spacing w:val="5"/>
          <w:kern w:val="0"/>
          <w:sz w:val="28"/>
          <w:szCs w:val="28"/>
        </w:rPr>
      </w:pPr>
      <w:r>
        <w:rPr>
          <w:rFonts w:hint="eastAsia" w:ascii="仿宋_GB2312" w:hAnsi="仿宋_GB2312" w:eastAsia="仿宋_GB2312" w:cs="仿宋_GB2312"/>
          <w:spacing w:val="5"/>
          <w:kern w:val="0"/>
          <w:sz w:val="28"/>
          <w:szCs w:val="28"/>
        </w:rPr>
        <w:t>（1）患者信息、眼别、</w:t>
      </w:r>
      <w:r>
        <w:rPr>
          <w:rFonts w:hint="eastAsia" w:ascii="仿宋_GB2312" w:hAnsi="仿宋_GB2312" w:eastAsia="仿宋_GB2312" w:cs="仿宋_GB2312"/>
          <w:spacing w:val="5"/>
          <w:kern w:val="0"/>
          <w:sz w:val="28"/>
          <w:szCs w:val="28"/>
          <w:lang w:eastAsia="zh-Hans"/>
        </w:rPr>
        <w:t>手术方式</w:t>
      </w:r>
      <w:r>
        <w:rPr>
          <w:rFonts w:hint="eastAsia" w:ascii="仿宋_GB2312" w:hAnsi="仿宋_GB2312" w:eastAsia="仿宋_GB2312" w:cs="仿宋_GB2312"/>
          <w:spacing w:val="5"/>
          <w:kern w:val="0"/>
          <w:sz w:val="28"/>
          <w:szCs w:val="28"/>
        </w:rPr>
        <w:t>等核对。</w:t>
      </w:r>
    </w:p>
    <w:p w14:paraId="5225D514">
      <w:pPr>
        <w:spacing w:before="140" w:line="307" w:lineRule="auto"/>
        <w:ind w:left="120" w:right="265" w:firstLine="655"/>
        <w:rPr>
          <w:rFonts w:ascii="仿宋_GB2312" w:hAnsi="仿宋_GB2312" w:eastAsia="仿宋_GB2312" w:cs="仿宋_GB2312"/>
          <w:spacing w:val="5"/>
          <w:kern w:val="0"/>
          <w:sz w:val="28"/>
          <w:szCs w:val="28"/>
        </w:rPr>
      </w:pPr>
      <w:r>
        <w:rPr>
          <w:rFonts w:hint="eastAsia" w:ascii="仿宋_GB2312" w:hAnsi="仿宋_GB2312" w:eastAsia="仿宋_GB2312" w:cs="仿宋_GB2312"/>
          <w:spacing w:val="5"/>
          <w:kern w:val="0"/>
          <w:sz w:val="28"/>
          <w:szCs w:val="28"/>
        </w:rPr>
        <w:t>（2）</w:t>
      </w:r>
      <w:r>
        <w:rPr>
          <w:rFonts w:hint="eastAsia" w:ascii="仿宋_GB2312" w:hAnsi="仿宋_GB2312" w:eastAsia="仿宋_GB2312" w:cs="仿宋_GB2312"/>
          <w:spacing w:val="5"/>
          <w:kern w:val="0"/>
          <w:sz w:val="28"/>
          <w:szCs w:val="28"/>
          <w:lang w:eastAsia="zh-Hans"/>
        </w:rPr>
        <w:t>明确完成术前用药（抗生素药水、散瞳或缩瞳药水、表面麻醉药）、和患者交代手术</w:t>
      </w:r>
      <w:r>
        <w:rPr>
          <w:rFonts w:hint="eastAsia" w:ascii="仿宋_GB2312" w:hAnsi="仿宋_GB2312" w:eastAsia="仿宋_GB2312" w:cs="仿宋_GB2312"/>
          <w:spacing w:val="5"/>
          <w:kern w:val="0"/>
          <w:sz w:val="28"/>
          <w:szCs w:val="28"/>
        </w:rPr>
        <w:t>注意事项。</w:t>
      </w:r>
    </w:p>
    <w:p w14:paraId="5C0D992B">
      <w:pPr>
        <w:spacing w:before="140" w:line="307" w:lineRule="auto"/>
        <w:ind w:left="120" w:right="265" w:firstLine="655"/>
        <w:rPr>
          <w:rFonts w:ascii="仿宋_GB2312" w:hAnsi="仿宋_GB2312" w:eastAsia="仿宋_GB2312" w:cs="仿宋_GB2312"/>
          <w:spacing w:val="5"/>
          <w:kern w:val="0"/>
          <w:sz w:val="28"/>
          <w:szCs w:val="28"/>
          <w:lang w:eastAsia="zh-Hans"/>
        </w:rPr>
      </w:pPr>
      <w:r>
        <w:rPr>
          <w:rFonts w:hint="eastAsia" w:ascii="仿宋_GB2312" w:hAnsi="仿宋_GB2312" w:eastAsia="仿宋_GB2312" w:cs="仿宋_GB2312"/>
          <w:spacing w:val="5"/>
          <w:kern w:val="0"/>
          <w:sz w:val="28"/>
          <w:szCs w:val="28"/>
        </w:rPr>
        <w:t>（4）手术床、手术显微镜的高度、角度、位置、亮度、瞳距等，超乳机、玻切机位置合理安装，完成术前调试；</w:t>
      </w:r>
      <w:r>
        <w:rPr>
          <w:rFonts w:hint="eastAsia" w:ascii="仿宋_GB2312" w:hAnsi="仿宋_GB2312" w:eastAsia="仿宋_GB2312" w:cs="仿宋_GB2312"/>
          <w:spacing w:val="5"/>
          <w:kern w:val="0"/>
          <w:sz w:val="28"/>
          <w:szCs w:val="28"/>
          <w:lang w:eastAsia="zh-Hans"/>
        </w:rPr>
        <w:t>手术常规和特殊器械准备齐全。</w:t>
      </w:r>
    </w:p>
    <w:p w14:paraId="33D530F4">
      <w:pPr>
        <w:spacing w:before="140" w:line="307" w:lineRule="auto"/>
        <w:ind w:left="120" w:right="265" w:firstLine="655"/>
        <w:rPr>
          <w:rFonts w:ascii="仿宋_GB2312" w:hAnsi="仿宋_GB2312" w:eastAsia="仿宋_GB2312" w:cs="仿宋_GB2312"/>
          <w:spacing w:val="5"/>
          <w:kern w:val="0"/>
          <w:sz w:val="28"/>
          <w:szCs w:val="28"/>
        </w:rPr>
      </w:pPr>
      <w:r>
        <w:rPr>
          <w:rFonts w:hint="eastAsia" w:ascii="仿宋_GB2312" w:hAnsi="仿宋_GB2312" w:eastAsia="仿宋_GB2312" w:cs="仿宋_GB2312"/>
          <w:spacing w:val="5"/>
          <w:kern w:val="0"/>
          <w:sz w:val="28"/>
          <w:szCs w:val="28"/>
        </w:rPr>
        <w:t>（5）手术区的消毒、铺单、包头操作等。</w:t>
      </w:r>
    </w:p>
    <w:p w14:paraId="31B8D62F">
      <w:pPr>
        <w:spacing w:before="140" w:line="307" w:lineRule="auto"/>
        <w:ind w:right="265"/>
        <w:rPr>
          <w:rFonts w:ascii="仿宋_GB2312" w:hAnsi="仿宋_GB2312" w:eastAsia="仿宋_GB2312" w:cs="仿宋_GB2312"/>
          <w:spacing w:val="5"/>
          <w:kern w:val="0"/>
          <w:sz w:val="28"/>
          <w:szCs w:val="28"/>
        </w:rPr>
      </w:pPr>
      <w:r>
        <w:rPr>
          <w:rFonts w:hint="eastAsia" w:ascii="楷体" w:hAnsi="楷体" w:eastAsia="楷体" w:cs="楷体"/>
          <w:b/>
          <w:bCs/>
          <w:spacing w:val="5"/>
          <w:kern w:val="0"/>
          <w:sz w:val="28"/>
          <w:szCs w:val="28"/>
        </w:rPr>
        <w:t>5.2手术进行阶段：</w:t>
      </w:r>
      <w:r>
        <w:rPr>
          <w:rFonts w:hint="eastAsia" w:ascii="仿宋_GB2312" w:hAnsi="仿宋_GB2312" w:eastAsia="仿宋_GB2312" w:cs="仿宋_GB2312"/>
          <w:spacing w:val="5"/>
          <w:kern w:val="0"/>
          <w:sz w:val="28"/>
          <w:szCs w:val="28"/>
        </w:rPr>
        <w:t>手术进行阶段一般是指从手术部位的切开开始直至全部完成为止，是手术操作指导的核心部分，指导医师应有意识地进行局部解剖、手术步骤的讲解，分为以下4种模式进行渐进式教学。</w:t>
      </w:r>
    </w:p>
    <w:p w14:paraId="75C2B831">
      <w:pPr>
        <w:spacing w:before="140" w:line="307" w:lineRule="auto"/>
        <w:ind w:right="265"/>
        <w:rPr>
          <w:rFonts w:ascii="仿宋_GB2312" w:hAnsi="仿宋_GB2312" w:eastAsia="仿宋_GB2312" w:cs="仿宋_GB2312"/>
          <w:spacing w:val="5"/>
          <w:kern w:val="0"/>
          <w:sz w:val="28"/>
          <w:szCs w:val="28"/>
        </w:rPr>
      </w:pPr>
      <w:r>
        <w:rPr>
          <w:rFonts w:hint="eastAsia" w:ascii="楷体" w:hAnsi="楷体" w:eastAsia="楷体" w:cs="楷体"/>
          <w:b/>
          <w:bCs/>
          <w:spacing w:val="5"/>
          <w:kern w:val="0"/>
          <w:sz w:val="28"/>
          <w:szCs w:val="28"/>
        </w:rPr>
        <w:t>5.2.1示教模式（指导医师操作，住院医师跟台学习）：</w:t>
      </w:r>
      <w:r>
        <w:rPr>
          <w:rFonts w:hint="eastAsia" w:ascii="仿宋_GB2312" w:hAnsi="仿宋_GB2312" w:eastAsia="仿宋_GB2312" w:cs="仿宋_GB2312"/>
          <w:spacing w:val="5"/>
          <w:kern w:val="0"/>
          <w:sz w:val="28"/>
          <w:szCs w:val="28"/>
        </w:rPr>
        <w:t>针对初次参加此类手术或对手术基本过程不熟悉的住院医师，可以在指导医师的指导下参与手术的整个过程，除协助整理手术器械及在显微镜下协助</w:t>
      </w:r>
      <w:r>
        <w:rPr>
          <w:rFonts w:hint="eastAsia" w:ascii="仿宋_GB2312" w:hAnsi="仿宋_GB2312" w:eastAsia="仿宋_GB2312" w:cs="仿宋_GB2312"/>
          <w:spacing w:val="5"/>
          <w:kern w:val="0"/>
          <w:sz w:val="28"/>
          <w:szCs w:val="28"/>
          <w:lang w:eastAsia="zh-Hans"/>
        </w:rPr>
        <w:t>湿</w:t>
      </w:r>
      <w:r>
        <w:rPr>
          <w:rFonts w:hint="eastAsia" w:ascii="仿宋_GB2312" w:hAnsi="仿宋_GB2312" w:eastAsia="仿宋_GB2312" w:cs="仿宋_GB2312"/>
          <w:spacing w:val="5"/>
          <w:kern w:val="0"/>
          <w:sz w:val="28"/>
          <w:szCs w:val="28"/>
        </w:rPr>
        <w:t>润角膜以外不进行任何有创操作，以观摩学习为主要任务，可以观察手术显微镜、超乳机、玻切机的使用过程，观摩手术实时监控录像，了解手术步骤。</w:t>
      </w:r>
    </w:p>
    <w:p w14:paraId="74D2D1E0">
      <w:pPr>
        <w:spacing w:before="140" w:line="307" w:lineRule="auto"/>
        <w:ind w:right="265"/>
        <w:rPr>
          <w:rFonts w:ascii="仿宋_GB2312" w:hAnsi="仿宋_GB2312" w:eastAsia="仿宋_GB2312" w:cs="仿宋_GB2312"/>
          <w:spacing w:val="12"/>
          <w:kern w:val="0"/>
          <w:sz w:val="28"/>
          <w:szCs w:val="28"/>
        </w:rPr>
      </w:pPr>
      <w:r>
        <w:rPr>
          <w:rFonts w:hint="eastAsia" w:ascii="楷体" w:hAnsi="楷体" w:eastAsia="楷体" w:cs="楷体"/>
          <w:b/>
          <w:bCs/>
          <w:spacing w:val="5"/>
          <w:kern w:val="0"/>
          <w:sz w:val="28"/>
          <w:szCs w:val="28"/>
        </w:rPr>
        <w:t>5.2.2带教模式（指导医师主操作，住院医师做助手）：</w:t>
      </w:r>
      <w:r>
        <w:rPr>
          <w:rFonts w:hint="eastAsia" w:ascii="仿宋_GB2312" w:hAnsi="仿宋_GB2312" w:eastAsia="仿宋_GB2312" w:cs="仿宋_GB2312"/>
          <w:spacing w:val="12"/>
          <w:kern w:val="0"/>
          <w:sz w:val="28"/>
          <w:szCs w:val="28"/>
        </w:rPr>
        <w:t>住院医师在指导医师的指导下完成手术操作的部分步骤。针对已经经历过示教，参加过此类手术、对手术操作的整体过程已经非常熟悉的住院医师，可以在指导医师的指导下完成手术显微镜下进行切口、结膜缝合等操作，并能够在指导医师的指导下，完成部分关键步骤，比如人工晶体植入，部分玻璃体切除，指导老师应负责手术的整体进程和操作质量的把控。</w:t>
      </w:r>
    </w:p>
    <w:p w14:paraId="139C0AC1">
      <w:pPr>
        <w:spacing w:before="140" w:line="307" w:lineRule="auto"/>
        <w:ind w:right="265"/>
        <w:rPr>
          <w:rFonts w:ascii="仿宋_GB2312" w:hAnsi="仿宋_GB2312" w:eastAsia="仿宋_GB2312" w:cs="仿宋_GB2312"/>
          <w:spacing w:val="5"/>
          <w:kern w:val="0"/>
          <w:sz w:val="28"/>
          <w:szCs w:val="28"/>
        </w:rPr>
      </w:pPr>
      <w:r>
        <w:rPr>
          <w:rFonts w:hint="eastAsia" w:ascii="楷体" w:hAnsi="楷体" w:eastAsia="楷体" w:cs="楷体"/>
          <w:b/>
          <w:bCs/>
          <w:spacing w:val="5"/>
          <w:kern w:val="0"/>
          <w:sz w:val="28"/>
          <w:szCs w:val="28"/>
        </w:rPr>
        <w:t>5.2.3督导模式（住院医师操作，指导医师督导）：</w:t>
      </w:r>
      <w:r>
        <w:rPr>
          <w:rFonts w:hint="eastAsia" w:ascii="仿宋_GB2312" w:hAnsi="仿宋_GB2312" w:eastAsia="仿宋_GB2312" w:cs="仿宋_GB2312"/>
          <w:spacing w:val="12"/>
          <w:kern w:val="0"/>
          <w:sz w:val="28"/>
          <w:szCs w:val="28"/>
        </w:rPr>
        <w:t>住院医师在指导医师的督导下独立完成手术，例如翼状胬肉切除+自体结膜移植术。针对已经能够熟练掌握手术中显微操作、切口、止血、缝合等要素，并且能够熟练完成手术关键步骤的住院医师，可以在指导医师的督导下独立完成全部手术操作。</w:t>
      </w:r>
    </w:p>
    <w:p w14:paraId="69863CE5">
      <w:pPr>
        <w:spacing w:before="140" w:line="307" w:lineRule="auto"/>
        <w:ind w:right="265"/>
        <w:rPr>
          <w:rFonts w:ascii="仿宋_GB2312" w:hAnsi="仿宋_GB2312" w:eastAsia="仿宋_GB2312" w:cs="仿宋_GB2312"/>
          <w:spacing w:val="5"/>
          <w:kern w:val="0"/>
          <w:sz w:val="28"/>
          <w:szCs w:val="28"/>
        </w:rPr>
      </w:pPr>
      <w:r>
        <w:rPr>
          <w:rFonts w:hint="eastAsia" w:ascii="楷体" w:hAnsi="楷体" w:eastAsia="楷体" w:cs="楷体"/>
          <w:b/>
          <w:bCs/>
          <w:spacing w:val="5"/>
          <w:kern w:val="0"/>
          <w:sz w:val="28"/>
          <w:szCs w:val="28"/>
        </w:rPr>
        <w:t>5.3总结：</w:t>
      </w:r>
      <w:r>
        <w:rPr>
          <w:rFonts w:hint="eastAsia" w:ascii="仿宋_GB2312" w:hAnsi="仿宋_GB2312" w:eastAsia="仿宋_GB2312" w:cs="仿宋_GB2312"/>
          <w:spacing w:val="5"/>
          <w:kern w:val="0"/>
          <w:sz w:val="28"/>
          <w:szCs w:val="28"/>
        </w:rPr>
        <w:t>指导</w:t>
      </w:r>
      <w:r>
        <w:rPr>
          <w:rFonts w:hint="eastAsia" w:ascii="仿宋_GB2312" w:hAnsi="仿宋_GB2312" w:eastAsia="仿宋_GB2312" w:cs="仿宋_GB2312"/>
          <w:spacing w:val="5"/>
          <w:kern w:val="0"/>
          <w:sz w:val="28"/>
          <w:szCs w:val="28"/>
          <w:lang w:eastAsia="zh-Hans"/>
        </w:rPr>
        <w:t>教</w:t>
      </w:r>
      <w:r>
        <w:rPr>
          <w:rFonts w:hint="eastAsia" w:ascii="仿宋_GB2312" w:hAnsi="仿宋_GB2312" w:eastAsia="仿宋_GB2312" w:cs="仿宋_GB2312"/>
          <w:spacing w:val="5"/>
          <w:kern w:val="0"/>
          <w:sz w:val="28"/>
          <w:szCs w:val="28"/>
        </w:rPr>
        <w:t>师与住院医师一同对手术操作指导过程进行总结（住院医师可先进行反思总结），</w:t>
      </w:r>
      <w:r>
        <w:rPr>
          <w:rFonts w:hint="eastAsia" w:ascii="仿宋_GB2312" w:hAnsi="仿宋_GB2312" w:eastAsia="仿宋_GB2312" w:cs="仿宋_GB2312"/>
          <w:spacing w:val="5"/>
          <w:kern w:val="0"/>
          <w:sz w:val="28"/>
          <w:szCs w:val="28"/>
          <w:lang w:eastAsia="zh-Hans"/>
        </w:rPr>
        <w:t>指导教师</w:t>
      </w:r>
      <w:r>
        <w:rPr>
          <w:rFonts w:hint="eastAsia" w:ascii="仿宋_GB2312" w:hAnsi="仿宋_GB2312" w:eastAsia="仿宋_GB2312" w:cs="仿宋_GB2312"/>
          <w:spacing w:val="5"/>
          <w:kern w:val="0"/>
          <w:sz w:val="28"/>
          <w:szCs w:val="28"/>
        </w:rPr>
        <w:t>对住院医师的表现进行评价和反馈。</w:t>
      </w:r>
    </w:p>
    <w:p w14:paraId="34A2364B">
      <w:pPr>
        <w:spacing w:before="140" w:line="307" w:lineRule="auto"/>
        <w:ind w:left="120" w:right="265" w:firstLine="655"/>
        <w:rPr>
          <w:rFonts w:ascii="仿宋_GB2312" w:hAnsi="仿宋_GB2312" w:eastAsia="仿宋_GB2312" w:cs="仿宋_GB2312"/>
          <w:spacing w:val="5"/>
          <w:kern w:val="0"/>
          <w:sz w:val="28"/>
          <w:szCs w:val="28"/>
        </w:rPr>
      </w:pPr>
      <w:r>
        <w:rPr>
          <w:rFonts w:hint="eastAsia" w:ascii="仿宋_GB2312" w:hAnsi="仿宋_GB2312" w:eastAsia="仿宋_GB2312" w:cs="仿宋_GB2312"/>
          <w:spacing w:val="5"/>
          <w:kern w:val="0"/>
          <w:sz w:val="28"/>
          <w:szCs w:val="28"/>
        </w:rPr>
        <w:t>（1）指导医师根据具体病例及手术操作的过程，总结住院医师本次手术操作指导中应掌握的关键知识点和操作要点。</w:t>
      </w:r>
    </w:p>
    <w:p w14:paraId="4B3C2695">
      <w:pPr>
        <w:spacing w:before="140" w:line="307" w:lineRule="auto"/>
        <w:ind w:left="120" w:right="265" w:firstLine="655"/>
        <w:rPr>
          <w:rFonts w:ascii="仿宋_GB2312" w:hAnsi="仿宋_GB2312" w:eastAsia="仿宋_GB2312" w:cs="仿宋_GB2312"/>
          <w:spacing w:val="5"/>
          <w:kern w:val="0"/>
          <w:sz w:val="28"/>
          <w:szCs w:val="28"/>
        </w:rPr>
      </w:pPr>
      <w:r>
        <w:rPr>
          <w:rFonts w:hint="eastAsia" w:ascii="仿宋_GB2312" w:hAnsi="仿宋_GB2312" w:eastAsia="仿宋_GB2312" w:cs="仿宋_GB2312"/>
          <w:spacing w:val="5"/>
          <w:kern w:val="0"/>
          <w:sz w:val="28"/>
          <w:szCs w:val="28"/>
        </w:rPr>
        <w:t>（2）指导医师针对手术中凸显的问题进行提问、讨论及总结。</w:t>
      </w:r>
    </w:p>
    <w:p w14:paraId="5CF42E60">
      <w:pPr>
        <w:spacing w:before="140" w:line="307" w:lineRule="auto"/>
        <w:ind w:left="120" w:right="265" w:firstLine="655"/>
        <w:rPr>
          <w:rFonts w:ascii="仿宋_GB2312" w:hAnsi="仿宋_GB2312" w:eastAsia="仿宋_GB2312" w:cs="仿宋_GB2312"/>
          <w:spacing w:val="5"/>
          <w:kern w:val="0"/>
          <w:sz w:val="28"/>
          <w:szCs w:val="28"/>
        </w:rPr>
      </w:pPr>
      <w:r>
        <w:rPr>
          <w:rFonts w:hint="eastAsia" w:ascii="仿宋_GB2312" w:hAnsi="仿宋_GB2312" w:eastAsia="仿宋_GB2312" w:cs="仿宋_GB2312"/>
          <w:spacing w:val="5"/>
          <w:kern w:val="0"/>
          <w:sz w:val="28"/>
          <w:szCs w:val="28"/>
        </w:rPr>
        <w:t>（3）指导医师点评住院医师在手术操作过程中的优点及不足，提出建设性意见。</w:t>
      </w:r>
    </w:p>
    <w:p w14:paraId="5BF7F694">
      <w:pPr>
        <w:spacing w:before="140" w:line="307" w:lineRule="auto"/>
        <w:ind w:left="120" w:right="265" w:firstLine="655"/>
        <w:rPr>
          <w:rFonts w:ascii="仿宋_GB2312" w:hAnsi="仿宋_GB2312" w:eastAsia="仿宋_GB2312" w:cs="仿宋_GB2312"/>
          <w:spacing w:val="5"/>
          <w:kern w:val="0"/>
          <w:sz w:val="28"/>
          <w:szCs w:val="28"/>
        </w:rPr>
      </w:pPr>
      <w:r>
        <w:rPr>
          <w:rFonts w:hint="eastAsia" w:ascii="仿宋_GB2312" w:hAnsi="仿宋_GB2312" w:eastAsia="仿宋_GB2312" w:cs="仿宋_GB2312"/>
          <w:spacing w:val="5"/>
          <w:kern w:val="0"/>
          <w:sz w:val="28"/>
          <w:szCs w:val="28"/>
        </w:rPr>
        <w:t>（4）指导医师提问并讨论患者术后处理和注意事项。</w:t>
      </w:r>
    </w:p>
    <w:p w14:paraId="598A3EC9">
      <w:pPr>
        <w:tabs>
          <w:tab w:val="left" w:pos="719"/>
        </w:tabs>
        <w:spacing w:before="53"/>
        <w:ind w:left="240"/>
        <w:jc w:val="left"/>
        <w:outlineLvl w:val="2"/>
        <w:rPr>
          <w:rFonts w:ascii="黑体" w:hAnsi="黑体" w:eastAsia="黑体" w:cs="黑体"/>
          <w:b/>
          <w:bCs/>
          <w:kern w:val="0"/>
          <w:sz w:val="28"/>
          <w:szCs w:val="28"/>
        </w:rPr>
      </w:pPr>
      <w:r>
        <w:rPr>
          <w:rFonts w:hint="eastAsia" w:ascii="黑体" w:hAnsi="黑体" w:eastAsia="黑体" w:cs="黑体"/>
          <w:b/>
          <w:bCs/>
          <w:kern w:val="0"/>
          <w:sz w:val="28"/>
          <w:szCs w:val="28"/>
        </w:rPr>
        <w:t>6</w:t>
      </w:r>
      <w:r>
        <w:rPr>
          <w:rFonts w:hint="eastAsia" w:ascii="黑体" w:hAnsi="黑体" w:eastAsia="黑体" w:cs="黑体"/>
          <w:b/>
          <w:bCs/>
          <w:kern w:val="0"/>
          <w:sz w:val="28"/>
          <w:szCs w:val="28"/>
        </w:rPr>
        <w:tab/>
      </w:r>
      <w:r>
        <w:rPr>
          <w:rFonts w:hint="eastAsia" w:ascii="黑体" w:hAnsi="黑体" w:eastAsia="黑体" w:cs="黑体"/>
          <w:b/>
          <w:bCs/>
          <w:kern w:val="0"/>
          <w:sz w:val="28"/>
          <w:szCs w:val="28"/>
        </w:rPr>
        <w:t>注意事项</w:t>
      </w:r>
    </w:p>
    <w:p w14:paraId="1D30E6CA">
      <w:pPr>
        <w:spacing w:before="140" w:line="307" w:lineRule="auto"/>
        <w:ind w:left="120" w:right="265" w:firstLine="655"/>
        <w:rPr>
          <w:rFonts w:ascii="仿宋_GB2312" w:hAnsi="仿宋_GB2312" w:eastAsia="仿宋_GB2312" w:cs="仿宋_GB2312"/>
          <w:spacing w:val="5"/>
          <w:kern w:val="0"/>
          <w:sz w:val="28"/>
          <w:szCs w:val="28"/>
        </w:rPr>
      </w:pPr>
      <w:r>
        <w:rPr>
          <w:rFonts w:hint="eastAsia" w:ascii="仿宋_GB2312" w:hAnsi="仿宋_GB2312" w:eastAsia="仿宋_GB2312" w:cs="仿宋_GB2312"/>
          <w:spacing w:val="5"/>
          <w:kern w:val="0"/>
          <w:sz w:val="28"/>
          <w:szCs w:val="28"/>
        </w:rPr>
        <w:t>（1）指导医师应对住院医师讲解手术基本步骤，对手术关键步骤要进行特别的展示和说明，并与住院医师有良好互动，可记录住院医师的手术录像，指导老师指导住院医师反复重复观看，指出问题及解决方案。</w:t>
      </w:r>
    </w:p>
    <w:p w14:paraId="14DBCF30">
      <w:pPr>
        <w:spacing w:before="140" w:line="307" w:lineRule="auto"/>
        <w:ind w:left="120" w:right="265" w:firstLine="655"/>
        <w:rPr>
          <w:rFonts w:ascii="仿宋_GB2312" w:hAnsi="仿宋_GB2312" w:eastAsia="仿宋_GB2312" w:cs="仿宋_GB2312"/>
          <w:spacing w:val="5"/>
          <w:kern w:val="0"/>
          <w:sz w:val="28"/>
          <w:szCs w:val="28"/>
        </w:rPr>
      </w:pPr>
      <w:r>
        <w:rPr>
          <w:rFonts w:hint="eastAsia" w:ascii="仿宋_GB2312" w:hAnsi="仿宋_GB2312" w:eastAsia="仿宋_GB2312" w:cs="仿宋_GB2312"/>
          <w:spacing w:val="5"/>
          <w:kern w:val="0"/>
          <w:sz w:val="28"/>
          <w:szCs w:val="28"/>
        </w:rPr>
        <w:t>（2）整个手术过程中，指导医师应当全程把控手术进程和患者安全，严密观察住院医师任何一项操作的完成情况，评价住院医师手术操作的完成质量。</w:t>
      </w:r>
    </w:p>
    <w:p w14:paraId="322488B2">
      <w:pPr>
        <w:spacing w:before="140" w:line="307" w:lineRule="auto"/>
        <w:ind w:left="120" w:right="265" w:firstLine="655"/>
        <w:rPr>
          <w:rFonts w:ascii="仿宋_GB2312" w:hAnsi="仿宋_GB2312" w:eastAsia="仿宋_GB2312" w:cs="仿宋_GB2312"/>
          <w:spacing w:val="5"/>
          <w:kern w:val="0"/>
          <w:sz w:val="28"/>
          <w:szCs w:val="28"/>
        </w:rPr>
      </w:pPr>
      <w:r>
        <w:rPr>
          <w:rFonts w:hint="eastAsia" w:ascii="仿宋_GB2312" w:hAnsi="仿宋_GB2312" w:eastAsia="仿宋_GB2312" w:cs="仿宋_GB2312"/>
          <w:spacing w:val="5"/>
          <w:kern w:val="0"/>
          <w:sz w:val="28"/>
          <w:szCs w:val="28"/>
        </w:rPr>
        <w:t>（3）如发现住院医师的操作能力和预期有较大距离，指导医师应调整当前的手术操作指导模式。</w:t>
      </w:r>
    </w:p>
    <w:p w14:paraId="1FEEE81C">
      <w:pPr>
        <w:tabs>
          <w:tab w:val="left" w:pos="719"/>
        </w:tabs>
        <w:spacing w:before="53"/>
        <w:jc w:val="left"/>
        <w:outlineLvl w:val="2"/>
        <w:rPr>
          <w:rFonts w:ascii="黑体" w:hAnsi="黑体" w:eastAsia="黑体" w:cs="黑体"/>
          <w:b/>
          <w:bCs/>
          <w:kern w:val="0"/>
          <w:sz w:val="28"/>
          <w:szCs w:val="28"/>
        </w:rPr>
      </w:pPr>
      <w:r>
        <w:rPr>
          <w:rFonts w:hint="eastAsia" w:ascii="黑体" w:hAnsi="黑体" w:eastAsia="黑体" w:cs="黑体"/>
          <w:b/>
          <w:bCs/>
          <w:kern w:val="0"/>
          <w:sz w:val="28"/>
          <w:szCs w:val="28"/>
        </w:rPr>
        <w:t>7其他说明</w:t>
      </w:r>
    </w:p>
    <w:p w14:paraId="0A2CF21B">
      <w:pPr>
        <w:spacing w:before="140" w:line="360" w:lineRule="auto"/>
        <w:ind w:right="265"/>
        <w:rPr>
          <w:rFonts w:ascii="仿宋_GB2312" w:hAnsi="仿宋_GB2312" w:eastAsia="仿宋_GB2312" w:cs="仿宋_GB2312"/>
          <w:spacing w:val="5"/>
          <w:kern w:val="0"/>
          <w:sz w:val="28"/>
          <w:szCs w:val="28"/>
        </w:rPr>
      </w:pPr>
      <w:r>
        <w:rPr>
          <w:rFonts w:hint="eastAsia" w:ascii="楷体" w:hAnsi="楷体" w:eastAsia="楷体" w:cs="楷体"/>
          <w:b/>
          <w:bCs/>
          <w:spacing w:val="5"/>
          <w:kern w:val="0"/>
          <w:sz w:val="28"/>
          <w:szCs w:val="28"/>
        </w:rPr>
        <w:t>7.1</w:t>
      </w:r>
      <w:r>
        <w:rPr>
          <w:rFonts w:hint="eastAsia" w:ascii="仿宋_GB2312" w:hAnsi="仿宋_GB2312" w:eastAsia="仿宋_GB2312" w:cs="仿宋_GB2312"/>
          <w:spacing w:val="5"/>
          <w:kern w:val="0"/>
          <w:sz w:val="28"/>
          <w:szCs w:val="28"/>
        </w:rPr>
        <w:tab/>
      </w:r>
      <w:r>
        <w:rPr>
          <w:rFonts w:hint="eastAsia" w:ascii="仿宋_GB2312" w:hAnsi="仿宋_GB2312" w:eastAsia="仿宋_GB2312" w:cs="仿宋_GB2312"/>
          <w:spacing w:val="5"/>
          <w:kern w:val="0"/>
          <w:sz w:val="28"/>
          <w:szCs w:val="28"/>
        </w:rPr>
        <w:t>本指南参照中国医师协会发布的《住院医师规范化培训手术操作指导指南（2022版）》，结合眼科学临床特点编写。</w:t>
      </w:r>
    </w:p>
    <w:p w14:paraId="4E0C17B4">
      <w:pPr>
        <w:spacing w:before="140" w:line="360" w:lineRule="auto"/>
        <w:ind w:right="265"/>
        <w:rPr>
          <w:rFonts w:ascii="仿宋_GB2312" w:hAnsi="仿宋_GB2312" w:eastAsia="仿宋_GB2312" w:cs="仿宋_GB2312"/>
          <w:spacing w:val="5"/>
          <w:kern w:val="0"/>
          <w:sz w:val="28"/>
          <w:szCs w:val="28"/>
        </w:rPr>
      </w:pPr>
      <w:r>
        <w:rPr>
          <w:rFonts w:hint="eastAsia" w:ascii="楷体" w:hAnsi="楷体" w:eastAsia="楷体" w:cs="楷体"/>
          <w:b/>
          <w:bCs/>
          <w:spacing w:val="5"/>
          <w:kern w:val="0"/>
          <w:sz w:val="28"/>
          <w:szCs w:val="28"/>
        </w:rPr>
        <w:t>7.2</w:t>
      </w:r>
      <w:r>
        <w:rPr>
          <w:rFonts w:hint="eastAsia" w:ascii="仿宋_GB2312" w:hAnsi="仿宋_GB2312" w:eastAsia="仿宋_GB2312" w:cs="仿宋_GB2312"/>
          <w:spacing w:val="5"/>
          <w:kern w:val="0"/>
          <w:sz w:val="28"/>
          <w:szCs w:val="28"/>
        </w:rPr>
        <w:t>眼科各亚专业的手术操作指导参照本指南，结合亚专业特点实施。</w:t>
      </w:r>
    </w:p>
    <w:p w14:paraId="6A4415DB">
      <w:pPr>
        <w:tabs>
          <w:tab w:val="left" w:pos="719"/>
        </w:tabs>
        <w:spacing w:before="53" w:line="360" w:lineRule="auto"/>
        <w:jc w:val="left"/>
        <w:outlineLvl w:val="2"/>
        <w:rPr>
          <w:rFonts w:ascii="仿宋_GB2312" w:hAnsi="仿宋_GB2312" w:eastAsia="仿宋_GB2312" w:cs="仿宋_GB2312"/>
          <w:spacing w:val="5"/>
          <w:kern w:val="0"/>
          <w:sz w:val="28"/>
          <w:szCs w:val="28"/>
        </w:rPr>
      </w:pPr>
      <w:r>
        <w:rPr>
          <w:rFonts w:hint="eastAsia" w:ascii="楷体" w:hAnsi="楷体" w:eastAsia="楷体" w:cs="楷体"/>
          <w:b/>
          <w:bCs/>
          <w:spacing w:val="5"/>
          <w:kern w:val="0"/>
          <w:sz w:val="28"/>
          <w:szCs w:val="28"/>
        </w:rPr>
        <w:t>7.3</w:t>
      </w:r>
      <w:r>
        <w:rPr>
          <w:rFonts w:hint="eastAsia" w:ascii="仿宋_GB2312" w:hAnsi="仿宋_GB2312" w:eastAsia="仿宋_GB2312" w:cs="仿宋_GB2312"/>
          <w:spacing w:val="5"/>
          <w:kern w:val="0"/>
          <w:sz w:val="28"/>
          <w:szCs w:val="28"/>
        </w:rPr>
        <w:t>本指南为对眼科住院医师规范化培训手术操作指导应达到的基本要求，对于具体手术操作指导的细节，各基地可以根据自身条件和特点进行调整安排，但不能偏离本指南的教学框架和基本要求。</w:t>
      </w:r>
    </w:p>
    <w:p w14:paraId="55E25C4A">
      <w:pPr>
        <w:tabs>
          <w:tab w:val="left" w:pos="719"/>
        </w:tabs>
        <w:spacing w:before="53" w:line="360" w:lineRule="auto"/>
        <w:jc w:val="left"/>
        <w:outlineLvl w:val="2"/>
        <w:rPr>
          <w:rFonts w:ascii="黑体" w:hAnsi="黑体" w:eastAsia="黑体" w:cs="黑体"/>
          <w:b/>
          <w:bCs/>
          <w:kern w:val="0"/>
          <w:sz w:val="28"/>
          <w:szCs w:val="28"/>
        </w:rPr>
      </w:pPr>
      <w:r>
        <w:rPr>
          <w:rFonts w:hint="eastAsia" w:ascii="黑体" w:hAnsi="黑体" w:eastAsia="黑体" w:cs="黑体"/>
          <w:b/>
          <w:bCs/>
          <w:kern w:val="0"/>
          <w:sz w:val="28"/>
          <w:szCs w:val="28"/>
        </w:rPr>
        <w:t>8附件</w:t>
      </w:r>
    </w:p>
    <w:p w14:paraId="639367F2">
      <w:pPr>
        <w:spacing w:before="140" w:line="307" w:lineRule="auto"/>
        <w:ind w:right="265"/>
        <w:rPr>
          <w:rFonts w:ascii="宋体" w:hAnsi="宋体" w:eastAsia="宋体" w:cs="Times New Roman"/>
          <w:spacing w:val="5"/>
          <w:kern w:val="0"/>
          <w:sz w:val="28"/>
          <w:szCs w:val="28"/>
        </w:rPr>
      </w:pPr>
      <w:r>
        <w:rPr>
          <w:rFonts w:hint="eastAsia" w:ascii="楷体" w:hAnsi="楷体" w:eastAsia="楷体" w:cs="楷体"/>
          <w:b/>
          <w:bCs/>
          <w:spacing w:val="5"/>
          <w:kern w:val="0"/>
          <w:sz w:val="28"/>
          <w:szCs w:val="28"/>
        </w:rPr>
        <w:t>8.1</w:t>
      </w:r>
      <w:r>
        <w:rPr>
          <w:rFonts w:hint="eastAsia" w:ascii="仿宋_GB2312" w:hAnsi="仿宋_GB2312" w:eastAsia="仿宋_GB2312" w:cs="仿宋_GB2312"/>
          <w:spacing w:val="5"/>
          <w:kern w:val="0"/>
          <w:sz w:val="28"/>
          <w:szCs w:val="28"/>
        </w:rPr>
        <w:t>住院医师规范化培训手术操作指导评分表（督导专家/同行评议使用）</w:t>
      </w:r>
    </w:p>
    <w:p w14:paraId="1D095506">
      <w:pPr>
        <w:jc w:val="left"/>
        <w:rPr>
          <w:rFonts w:ascii="黑体" w:eastAsia="黑体" w:cs="黑体"/>
          <w:kern w:val="0"/>
          <w:sz w:val="32"/>
          <w:szCs w:val="32"/>
        </w:rPr>
      </w:pPr>
      <w:r>
        <w:rPr>
          <w:rFonts w:hint="eastAsia" w:ascii="黑体" w:eastAsia="黑体" w:cs="黑体"/>
          <w:kern w:val="0"/>
          <w:sz w:val="32"/>
          <w:szCs w:val="32"/>
        </w:rPr>
        <w:br w:type="page"/>
      </w:r>
    </w:p>
    <w:p w14:paraId="52B90418">
      <w:pPr>
        <w:autoSpaceDE w:val="0"/>
        <w:autoSpaceDN w:val="0"/>
        <w:adjustRightInd w:val="0"/>
        <w:jc w:val="left"/>
        <w:rPr>
          <w:rFonts w:ascii="黑体" w:hAnsi="黑体" w:eastAsia="黑体" w:cs="黑体"/>
          <w:b/>
          <w:bCs/>
          <w:spacing w:val="6"/>
          <w:kern w:val="0"/>
          <w:sz w:val="32"/>
          <w:szCs w:val="32"/>
        </w:rPr>
      </w:pPr>
      <w:r>
        <w:rPr>
          <w:rFonts w:hint="eastAsia" w:ascii="黑体" w:eastAsia="黑体" w:cs="黑体"/>
          <w:kern w:val="0"/>
          <w:sz w:val="32"/>
          <w:szCs w:val="32"/>
        </w:rPr>
        <w:t>附件：</w:t>
      </w:r>
    </w:p>
    <w:p w14:paraId="3A7F961E">
      <w:pPr>
        <w:spacing w:line="456" w:lineRule="exact"/>
        <w:ind w:right="44"/>
        <w:jc w:val="center"/>
        <w:rPr>
          <w:rFonts w:ascii="Microsoft JhengHei" w:hAnsi="Microsoft JhengHei" w:cs="Microsoft JhengHei"/>
          <w:b/>
          <w:bCs/>
          <w:spacing w:val="9"/>
          <w:kern w:val="0"/>
          <w:sz w:val="32"/>
          <w:szCs w:val="32"/>
        </w:rPr>
      </w:pPr>
      <w:r>
        <w:rPr>
          <w:rFonts w:hint="eastAsia" w:ascii="Microsoft JhengHei" w:hAnsi="Microsoft JhengHei" w:eastAsia="Microsoft JhengHei" w:cs="Microsoft JhengHei"/>
          <w:b/>
          <w:bCs/>
          <w:spacing w:val="9"/>
          <w:kern w:val="0"/>
          <w:sz w:val="32"/>
          <w:szCs w:val="32"/>
        </w:rPr>
        <w:t>住院医师规范化培训手术操作指导评分表</w:t>
      </w:r>
      <w:r>
        <w:rPr>
          <w:rFonts w:ascii="Microsoft JhengHei" w:hAnsi="Microsoft JhengHei" w:eastAsia="Microsoft JhengHei" w:cs="Microsoft JhengHei"/>
          <w:b/>
          <w:bCs/>
          <w:spacing w:val="9"/>
          <w:kern w:val="0"/>
          <w:sz w:val="32"/>
          <w:szCs w:val="32"/>
        </w:rPr>
        <w:t>1</w:t>
      </w:r>
    </w:p>
    <w:p w14:paraId="34FEB64C">
      <w:pPr>
        <w:spacing w:line="456" w:lineRule="exact"/>
        <w:ind w:right="44"/>
        <w:jc w:val="center"/>
        <w:rPr>
          <w:rFonts w:ascii="Microsoft JhengHei" w:hAnsi="Microsoft JhengHei" w:eastAsia="Microsoft JhengHei" w:cs="Microsoft JhengHei"/>
          <w:b/>
          <w:bCs/>
          <w:kern w:val="0"/>
          <w:sz w:val="45"/>
          <w:szCs w:val="45"/>
        </w:rPr>
      </w:pPr>
      <w:r>
        <w:rPr>
          <w:rFonts w:hint="eastAsia" w:ascii="Microsoft JhengHei" w:hAnsi="Microsoft JhengHei" w:eastAsia="Microsoft JhengHei" w:cs="Microsoft JhengHei"/>
          <w:b/>
          <w:bCs/>
          <w:spacing w:val="9"/>
          <w:kern w:val="0"/>
          <w:sz w:val="32"/>
          <w:szCs w:val="32"/>
        </w:rPr>
        <w:t>（督导专家</w:t>
      </w:r>
      <w:r>
        <w:rPr>
          <w:rFonts w:ascii="Microsoft JhengHei" w:hAnsi="Microsoft JhengHei" w:eastAsia="Microsoft JhengHei" w:cs="Microsoft JhengHei"/>
          <w:b/>
          <w:bCs/>
          <w:spacing w:val="9"/>
          <w:kern w:val="0"/>
          <w:sz w:val="32"/>
          <w:szCs w:val="32"/>
        </w:rPr>
        <w:t>/</w:t>
      </w:r>
      <w:r>
        <w:rPr>
          <w:rFonts w:hint="eastAsia" w:ascii="Microsoft JhengHei" w:hAnsi="Microsoft JhengHei" w:eastAsia="Microsoft JhengHei" w:cs="Microsoft JhengHei"/>
          <w:b/>
          <w:bCs/>
          <w:spacing w:val="9"/>
          <w:kern w:val="0"/>
          <w:sz w:val="32"/>
          <w:szCs w:val="32"/>
        </w:rPr>
        <w:t>同行评议使用）</w:t>
      </w:r>
    </w:p>
    <w:p w14:paraId="6B9AE2DB">
      <w:pPr>
        <w:tabs>
          <w:tab w:val="left" w:pos="5054"/>
        </w:tabs>
        <w:ind w:left="960"/>
        <w:jc w:val="left"/>
        <w:rPr>
          <w:rFonts w:ascii="宋体" w:hAnsi="宋体" w:eastAsia="宋体" w:cs="宋体"/>
          <w:kern w:val="0"/>
          <w:szCs w:val="21"/>
        </w:rPr>
      </w:pPr>
      <w:r>
        <w:rPr>
          <w:rFonts w:ascii="宋体" w:hAnsi="宋体" w:eastAsia="宋体" w:cs="宋体"/>
          <w:w w:val="95"/>
          <w:kern w:val="0"/>
          <w:szCs w:val="21"/>
        </w:rPr>
        <w:t>培训基地：</w:t>
      </w:r>
      <w:r>
        <w:rPr>
          <w:rFonts w:ascii="宋体" w:hAnsi="宋体" w:eastAsia="宋体" w:cs="宋体"/>
          <w:w w:val="95"/>
          <w:kern w:val="0"/>
          <w:szCs w:val="21"/>
        </w:rPr>
        <w:tab/>
      </w:r>
      <w:r>
        <w:rPr>
          <w:rFonts w:ascii="宋体" w:hAnsi="宋体" w:eastAsia="宋体" w:cs="宋体"/>
          <w:kern w:val="0"/>
          <w:szCs w:val="21"/>
        </w:rPr>
        <w:t>专业基地/科室：</w:t>
      </w:r>
    </w:p>
    <w:p w14:paraId="2990EFA9">
      <w:pPr>
        <w:spacing w:before="12"/>
        <w:jc w:val="left"/>
        <w:rPr>
          <w:rFonts w:ascii="宋体" w:hAnsi="宋体" w:eastAsia="宋体" w:cs="宋体"/>
          <w:kern w:val="0"/>
          <w:szCs w:val="21"/>
        </w:rPr>
      </w:pPr>
    </w:p>
    <w:p w14:paraId="7E16B64D">
      <w:pPr>
        <w:tabs>
          <w:tab w:val="left" w:pos="3899"/>
          <w:tab w:val="left" w:pos="5347"/>
          <w:tab w:val="left" w:pos="6815"/>
        </w:tabs>
        <w:ind w:left="960"/>
        <w:jc w:val="left"/>
        <w:rPr>
          <w:rFonts w:ascii="宋体" w:hAnsi="宋体" w:eastAsia="宋体" w:cs="宋体"/>
          <w:kern w:val="0"/>
          <w:szCs w:val="21"/>
        </w:rPr>
      </w:pPr>
      <w:r>
        <w:rPr>
          <w:rFonts w:ascii="宋体" w:hAnsi="宋体" w:eastAsia="宋体" w:cs="宋体"/>
          <w:w w:val="95"/>
          <w:kern w:val="0"/>
          <w:szCs w:val="21"/>
        </w:rPr>
        <w:t>指导医师：</w:t>
      </w:r>
      <w:r>
        <w:rPr>
          <w:rFonts w:ascii="宋体" w:hAnsi="宋体" w:eastAsia="宋体" w:cs="宋体"/>
          <w:w w:val="95"/>
          <w:kern w:val="0"/>
          <w:szCs w:val="21"/>
        </w:rPr>
        <w:tab/>
      </w:r>
      <w:r>
        <w:rPr>
          <w:rFonts w:ascii="宋体" w:hAnsi="宋体" w:eastAsia="宋体" w:cs="宋体"/>
          <w:w w:val="95"/>
          <w:kern w:val="0"/>
          <w:szCs w:val="21"/>
        </w:rPr>
        <w:t>□主任医师</w:t>
      </w:r>
      <w:r>
        <w:rPr>
          <w:rFonts w:ascii="宋体" w:hAnsi="宋体" w:eastAsia="宋体" w:cs="宋体"/>
          <w:w w:val="95"/>
          <w:kern w:val="0"/>
          <w:szCs w:val="21"/>
        </w:rPr>
        <w:tab/>
      </w:r>
      <w:r>
        <w:rPr>
          <w:rFonts w:ascii="宋体" w:hAnsi="宋体" w:eastAsia="宋体" w:cs="宋体"/>
          <w:w w:val="95"/>
          <w:kern w:val="0"/>
          <w:szCs w:val="21"/>
        </w:rPr>
        <w:t>□副主任医师</w:t>
      </w:r>
      <w:r>
        <w:rPr>
          <w:rFonts w:ascii="宋体" w:hAnsi="宋体" w:eastAsia="宋体" w:cs="宋体"/>
          <w:w w:val="95"/>
          <w:kern w:val="0"/>
          <w:szCs w:val="21"/>
        </w:rPr>
        <w:tab/>
      </w:r>
      <w:r>
        <w:rPr>
          <w:rFonts w:ascii="宋体" w:hAnsi="宋体" w:eastAsia="宋体" w:cs="宋体"/>
          <w:kern w:val="0"/>
          <w:szCs w:val="21"/>
        </w:rPr>
        <w:t>□主治医师</w:t>
      </w:r>
    </w:p>
    <w:p w14:paraId="0061A35F">
      <w:pPr>
        <w:spacing w:before="8"/>
        <w:jc w:val="left"/>
        <w:rPr>
          <w:rFonts w:ascii="宋体" w:hAnsi="宋体" w:eastAsia="宋体" w:cs="宋体"/>
          <w:kern w:val="0"/>
          <w:sz w:val="20"/>
          <w:szCs w:val="20"/>
        </w:rPr>
      </w:pPr>
    </w:p>
    <w:p w14:paraId="5F98D353">
      <w:pPr>
        <w:tabs>
          <w:tab w:val="left" w:pos="3899"/>
          <w:tab w:val="left" w:pos="5347"/>
          <w:tab w:val="left" w:pos="6815"/>
        </w:tabs>
        <w:spacing w:line="463" w:lineRule="auto"/>
        <w:ind w:left="960" w:right="2167"/>
        <w:jc w:val="left"/>
        <w:rPr>
          <w:rFonts w:hint="eastAsia" w:ascii="宋体" w:hAnsi="宋体" w:eastAsia="宋体" w:cs="宋体"/>
          <w:w w:val="99"/>
          <w:kern w:val="0"/>
          <w:szCs w:val="21"/>
          <w:lang w:eastAsia="zh-CN"/>
        </w:rPr>
      </w:pPr>
      <w:r>
        <w:rPr>
          <w:rFonts w:ascii="宋体" w:hAnsi="宋体" w:eastAsia="宋体" w:cs="宋体"/>
          <w:w w:val="95"/>
          <w:kern w:val="0"/>
          <w:szCs w:val="21"/>
        </w:rPr>
        <w:t>住院医师：□住培第一年□住培第二年</w:t>
      </w:r>
      <w:r>
        <w:rPr>
          <w:rFonts w:ascii="宋体" w:hAnsi="宋体" w:eastAsia="宋体" w:cs="宋体"/>
          <w:kern w:val="0"/>
          <w:szCs w:val="21"/>
        </w:rPr>
        <w:t>□住培第三年□</w:t>
      </w:r>
      <w:r>
        <w:rPr>
          <w:rFonts w:hint="eastAsia" w:ascii="宋体" w:hAnsi="宋体" w:eastAsia="宋体" w:cs="宋体"/>
          <w:kern w:val="0"/>
          <w:szCs w:val="21"/>
          <w:lang w:eastAsia="zh-Hans"/>
        </w:rPr>
        <w:t>住培二阶段医生</w:t>
      </w:r>
    </w:p>
    <w:p w14:paraId="57B9AFC8">
      <w:pPr>
        <w:tabs>
          <w:tab w:val="left" w:pos="3899"/>
          <w:tab w:val="left" w:pos="5347"/>
          <w:tab w:val="left" w:pos="6815"/>
        </w:tabs>
        <w:spacing w:line="463" w:lineRule="auto"/>
        <w:ind w:left="960" w:right="2167"/>
        <w:jc w:val="left"/>
        <w:rPr>
          <w:rFonts w:ascii="宋体" w:hAnsi="宋体" w:eastAsia="宋体" w:cs="宋体"/>
          <w:w w:val="95"/>
          <w:kern w:val="0"/>
          <w:szCs w:val="21"/>
        </w:rPr>
      </w:pPr>
      <w:r>
        <w:rPr>
          <w:rFonts w:hint="eastAsia" w:ascii="宋体" w:hAnsi="宋体" w:eastAsia="宋体" w:cs="宋体"/>
          <w:w w:val="95"/>
          <w:kern w:val="0"/>
          <w:szCs w:val="21"/>
        </w:rPr>
        <w:t>指导模式：□示教模式□带教模式□督导模式</w:t>
      </w:r>
    </w:p>
    <w:tbl>
      <w:tblPr>
        <w:tblStyle w:val="13"/>
        <w:tblpPr w:leftFromText="180" w:rightFromText="180" w:vertAnchor="text" w:horzAnchor="page" w:tblpX="1122" w:tblpY="9"/>
        <w:tblOverlap w:val="never"/>
        <w:tblW w:w="10015" w:type="dxa"/>
        <w:tblInd w:w="0" w:type="dxa"/>
        <w:tblLayout w:type="fixed"/>
        <w:tblCellMar>
          <w:top w:w="0" w:type="dxa"/>
          <w:left w:w="0" w:type="dxa"/>
          <w:bottom w:w="0" w:type="dxa"/>
          <w:right w:w="0" w:type="dxa"/>
        </w:tblCellMar>
      </w:tblPr>
      <w:tblGrid>
        <w:gridCol w:w="926"/>
        <w:gridCol w:w="7120"/>
        <w:gridCol w:w="600"/>
        <w:gridCol w:w="586"/>
        <w:gridCol w:w="783"/>
      </w:tblGrid>
      <w:tr w14:paraId="634E42CE">
        <w:tblPrEx>
          <w:tblCellMar>
            <w:top w:w="0" w:type="dxa"/>
            <w:left w:w="0" w:type="dxa"/>
            <w:bottom w:w="0" w:type="dxa"/>
            <w:right w:w="0" w:type="dxa"/>
          </w:tblCellMar>
        </w:tblPrEx>
        <w:trPr>
          <w:trHeight w:val="650" w:hRule="exact"/>
        </w:trPr>
        <w:tc>
          <w:tcPr>
            <w:tcW w:w="926" w:type="dxa"/>
            <w:tcBorders>
              <w:top w:val="single" w:color="000000" w:sz="4" w:space="0"/>
              <w:left w:val="single" w:color="000000" w:sz="4" w:space="0"/>
              <w:bottom w:val="single" w:color="000000" w:sz="4" w:space="0"/>
              <w:right w:val="single" w:color="000000" w:sz="4" w:space="0"/>
            </w:tcBorders>
          </w:tcPr>
          <w:p w14:paraId="70361773">
            <w:pPr>
              <w:spacing w:line="266" w:lineRule="exact"/>
              <w:ind w:left="185"/>
              <w:jc w:val="left"/>
              <w:rPr>
                <w:rFonts w:hint="eastAsia" w:ascii="黑体" w:hAnsi="黑体" w:eastAsia="黑体" w:cs="黑体"/>
                <w:kern w:val="0"/>
                <w:sz w:val="22"/>
                <w:szCs w:val="21"/>
                <w:lang w:eastAsia="en-US"/>
              </w:rPr>
            </w:pPr>
            <w:r>
              <w:rPr>
                <w:rFonts w:hint="eastAsia" w:ascii="黑体" w:hAnsi="黑体" w:eastAsia="黑体" w:cs="黑体"/>
                <w:b/>
                <w:bCs/>
                <w:kern w:val="0"/>
                <w:sz w:val="22"/>
                <w:szCs w:val="21"/>
                <w:lang w:eastAsia="en-US"/>
              </w:rPr>
              <w:t>考核</w:t>
            </w:r>
          </w:p>
          <w:p w14:paraId="37471B64">
            <w:pPr>
              <w:spacing w:line="339" w:lineRule="exact"/>
              <w:ind w:left="185"/>
              <w:jc w:val="left"/>
              <w:rPr>
                <w:rFonts w:hint="eastAsia" w:ascii="黑体" w:hAnsi="黑体" w:eastAsia="黑体" w:cs="黑体"/>
                <w:kern w:val="0"/>
                <w:sz w:val="22"/>
                <w:szCs w:val="21"/>
                <w:lang w:eastAsia="en-US"/>
              </w:rPr>
            </w:pPr>
            <w:r>
              <w:rPr>
                <w:rFonts w:hint="eastAsia" w:ascii="黑体" w:hAnsi="黑体" w:eastAsia="黑体" w:cs="黑体"/>
                <w:b/>
                <w:bCs/>
                <w:kern w:val="0"/>
                <w:sz w:val="22"/>
                <w:szCs w:val="21"/>
                <w:lang w:eastAsia="en-US"/>
              </w:rPr>
              <w:t>项目</w:t>
            </w:r>
          </w:p>
        </w:tc>
        <w:tc>
          <w:tcPr>
            <w:tcW w:w="7120" w:type="dxa"/>
            <w:tcBorders>
              <w:top w:val="single" w:color="000000" w:sz="4" w:space="0"/>
              <w:left w:val="single" w:color="000000" w:sz="4" w:space="0"/>
              <w:bottom w:val="single" w:color="000000" w:sz="4" w:space="0"/>
              <w:right w:val="single" w:color="000000" w:sz="4" w:space="0"/>
            </w:tcBorders>
          </w:tcPr>
          <w:p w14:paraId="3289553E">
            <w:pPr>
              <w:spacing w:before="177"/>
              <w:jc w:val="center"/>
              <w:rPr>
                <w:rFonts w:hint="eastAsia" w:ascii="黑体" w:hAnsi="黑体" w:eastAsia="黑体" w:cs="黑体"/>
                <w:kern w:val="0"/>
                <w:sz w:val="22"/>
                <w:szCs w:val="21"/>
                <w:lang w:eastAsia="en-US"/>
              </w:rPr>
            </w:pPr>
            <w:r>
              <w:rPr>
                <w:rFonts w:hint="eastAsia" w:ascii="黑体" w:hAnsi="黑体" w:eastAsia="黑体" w:cs="黑体"/>
                <w:b/>
                <w:bCs/>
                <w:kern w:val="0"/>
                <w:sz w:val="22"/>
                <w:szCs w:val="21"/>
                <w:lang w:eastAsia="en-US"/>
              </w:rPr>
              <w:t>内容要求</w:t>
            </w:r>
          </w:p>
        </w:tc>
        <w:tc>
          <w:tcPr>
            <w:tcW w:w="600" w:type="dxa"/>
            <w:tcBorders>
              <w:top w:val="single" w:color="000000" w:sz="4" w:space="0"/>
              <w:left w:val="single" w:color="000000" w:sz="4" w:space="0"/>
              <w:bottom w:val="single" w:color="000000" w:sz="4" w:space="0"/>
              <w:right w:val="single" w:color="000000" w:sz="4" w:space="0"/>
            </w:tcBorders>
            <w:vAlign w:val="center"/>
          </w:tcPr>
          <w:p w14:paraId="0C05E27C">
            <w:pPr>
              <w:spacing w:line="266" w:lineRule="exact"/>
              <w:jc w:val="center"/>
              <w:rPr>
                <w:rFonts w:hint="eastAsia" w:ascii="黑体" w:hAnsi="黑体" w:eastAsia="黑体" w:cs="黑体"/>
                <w:kern w:val="0"/>
                <w:sz w:val="22"/>
                <w:szCs w:val="21"/>
                <w:lang w:eastAsia="en-US"/>
              </w:rPr>
            </w:pPr>
            <w:r>
              <w:rPr>
                <w:rFonts w:hint="eastAsia" w:ascii="黑体" w:hAnsi="黑体" w:eastAsia="黑体" w:cs="黑体"/>
                <w:b/>
                <w:bCs/>
                <w:w w:val="99"/>
                <w:kern w:val="0"/>
                <w:sz w:val="22"/>
                <w:szCs w:val="21"/>
                <w:lang w:eastAsia="en-US"/>
              </w:rPr>
              <w:t>满分</w:t>
            </w:r>
          </w:p>
        </w:tc>
        <w:tc>
          <w:tcPr>
            <w:tcW w:w="586" w:type="dxa"/>
            <w:tcBorders>
              <w:top w:val="single" w:color="000000" w:sz="4" w:space="0"/>
              <w:left w:val="single" w:color="000000" w:sz="4" w:space="0"/>
              <w:bottom w:val="single" w:color="000000" w:sz="4" w:space="0"/>
              <w:right w:val="single" w:color="000000" w:sz="4" w:space="0"/>
            </w:tcBorders>
            <w:vAlign w:val="center"/>
          </w:tcPr>
          <w:p w14:paraId="7822188E">
            <w:pPr>
              <w:spacing w:line="266" w:lineRule="exact"/>
              <w:jc w:val="center"/>
              <w:rPr>
                <w:rFonts w:hint="eastAsia" w:ascii="黑体" w:hAnsi="黑体" w:eastAsia="黑体" w:cs="黑体"/>
                <w:kern w:val="0"/>
                <w:sz w:val="22"/>
                <w:szCs w:val="21"/>
                <w:lang w:eastAsia="en-US"/>
              </w:rPr>
            </w:pPr>
            <w:r>
              <w:rPr>
                <w:rFonts w:hint="eastAsia" w:ascii="黑体" w:hAnsi="黑体" w:eastAsia="黑体" w:cs="黑体"/>
                <w:b/>
                <w:bCs/>
                <w:w w:val="99"/>
                <w:kern w:val="0"/>
                <w:sz w:val="22"/>
                <w:szCs w:val="21"/>
                <w:lang w:eastAsia="en-US"/>
              </w:rPr>
              <w:t>得分</w:t>
            </w:r>
          </w:p>
        </w:tc>
        <w:tc>
          <w:tcPr>
            <w:tcW w:w="783" w:type="dxa"/>
            <w:tcBorders>
              <w:top w:val="single" w:color="000000" w:sz="4" w:space="0"/>
              <w:left w:val="single" w:color="000000" w:sz="4" w:space="0"/>
              <w:bottom w:val="single" w:color="000000" w:sz="4" w:space="0"/>
              <w:right w:val="single" w:color="000000" w:sz="4" w:space="0"/>
            </w:tcBorders>
            <w:vAlign w:val="center"/>
          </w:tcPr>
          <w:p w14:paraId="2F9B3C85">
            <w:pPr>
              <w:spacing w:line="266" w:lineRule="exact"/>
              <w:jc w:val="center"/>
              <w:rPr>
                <w:rFonts w:hint="eastAsia" w:ascii="黑体" w:hAnsi="黑体" w:eastAsia="黑体" w:cs="黑体"/>
                <w:b/>
                <w:bCs/>
                <w:kern w:val="0"/>
                <w:sz w:val="22"/>
                <w:szCs w:val="21"/>
                <w:lang w:eastAsia="en-US"/>
              </w:rPr>
            </w:pPr>
            <w:r>
              <w:rPr>
                <w:rFonts w:hint="eastAsia" w:ascii="黑体" w:hAnsi="黑体" w:eastAsia="黑体" w:cs="黑体"/>
                <w:b/>
                <w:bCs/>
                <w:kern w:val="0"/>
                <w:sz w:val="22"/>
                <w:szCs w:val="21"/>
                <w:lang w:eastAsia="en-US"/>
              </w:rPr>
              <w:t>扣分</w:t>
            </w:r>
          </w:p>
          <w:p w14:paraId="7AB3D7F8">
            <w:pPr>
              <w:spacing w:line="266" w:lineRule="exact"/>
              <w:jc w:val="center"/>
              <w:rPr>
                <w:rFonts w:hint="eastAsia" w:ascii="黑体" w:hAnsi="黑体" w:eastAsia="黑体" w:cs="黑体"/>
                <w:kern w:val="0"/>
                <w:sz w:val="22"/>
                <w:szCs w:val="21"/>
                <w:lang w:eastAsia="en-US"/>
              </w:rPr>
            </w:pPr>
            <w:r>
              <w:rPr>
                <w:rFonts w:hint="eastAsia" w:ascii="黑体" w:hAnsi="黑体" w:eastAsia="黑体" w:cs="黑体"/>
                <w:b/>
                <w:bCs/>
                <w:kern w:val="0"/>
                <w:sz w:val="22"/>
                <w:szCs w:val="21"/>
                <w:lang w:eastAsia="en-US"/>
              </w:rPr>
              <w:t>原因</w:t>
            </w:r>
          </w:p>
        </w:tc>
      </w:tr>
      <w:tr w14:paraId="13A1B7C4">
        <w:tblPrEx>
          <w:tblCellMar>
            <w:top w:w="0" w:type="dxa"/>
            <w:left w:w="0" w:type="dxa"/>
            <w:bottom w:w="0" w:type="dxa"/>
            <w:right w:w="0" w:type="dxa"/>
          </w:tblCellMar>
        </w:tblPrEx>
        <w:trPr>
          <w:trHeight w:val="680" w:hRule="exact"/>
        </w:trPr>
        <w:tc>
          <w:tcPr>
            <w:tcW w:w="926" w:type="dxa"/>
            <w:vMerge w:val="restart"/>
            <w:tcBorders>
              <w:top w:val="single" w:color="000000" w:sz="4" w:space="0"/>
              <w:left w:val="single" w:color="000000" w:sz="4" w:space="0"/>
              <w:right w:val="single" w:color="000000" w:sz="4" w:space="0"/>
            </w:tcBorders>
            <w:vAlign w:val="center"/>
          </w:tcPr>
          <w:p w14:paraId="3A03C9D6">
            <w:pPr>
              <w:jc w:val="center"/>
              <w:rPr>
                <w:rFonts w:hint="default" w:ascii="Times New Roman" w:hAnsi="Times New Roman" w:eastAsia="仿宋_GB2312" w:cs="Times New Roman"/>
                <w:sz w:val="22"/>
                <w:szCs w:val="22"/>
                <w:lang w:eastAsia="en-US"/>
              </w:rPr>
            </w:pPr>
          </w:p>
          <w:p w14:paraId="442A65B2">
            <w:pPr>
              <w:jc w:val="center"/>
              <w:rPr>
                <w:rFonts w:hint="default" w:ascii="Times New Roman" w:hAnsi="Times New Roman" w:eastAsia="仿宋_GB2312" w:cs="Times New Roman"/>
                <w:sz w:val="22"/>
                <w:szCs w:val="22"/>
                <w:lang w:eastAsia="en-US"/>
              </w:rPr>
            </w:pPr>
            <w:r>
              <w:rPr>
                <w:rFonts w:hint="default" w:ascii="Times New Roman" w:hAnsi="Times New Roman" w:eastAsia="仿宋_GB2312" w:cs="Times New Roman"/>
                <w:sz w:val="22"/>
                <w:szCs w:val="22"/>
                <w:lang w:eastAsia="en-US"/>
              </w:rPr>
              <w:t>组织</w:t>
            </w:r>
          </w:p>
          <w:p w14:paraId="015CB9E9">
            <w:pPr>
              <w:jc w:val="center"/>
              <w:rPr>
                <w:rFonts w:hint="default" w:ascii="Times New Roman" w:hAnsi="Times New Roman" w:eastAsia="仿宋_GB2312" w:cs="Times New Roman"/>
                <w:sz w:val="22"/>
                <w:szCs w:val="22"/>
                <w:lang w:eastAsia="en-US"/>
              </w:rPr>
            </w:pPr>
            <w:r>
              <w:rPr>
                <w:rFonts w:hint="default" w:ascii="Times New Roman" w:hAnsi="Times New Roman" w:eastAsia="仿宋_GB2312" w:cs="Times New Roman"/>
                <w:sz w:val="22"/>
                <w:szCs w:val="22"/>
                <w:lang w:eastAsia="en-US"/>
              </w:rPr>
              <w:t>安排</w:t>
            </w:r>
          </w:p>
          <w:p w14:paraId="06E78A62">
            <w:pPr>
              <w:jc w:val="center"/>
              <w:rPr>
                <w:rFonts w:hint="default" w:ascii="Times New Roman" w:hAnsi="Times New Roman" w:eastAsia="仿宋_GB2312" w:cs="Times New Roman"/>
                <w:sz w:val="22"/>
                <w:szCs w:val="22"/>
                <w:lang w:eastAsia="en-US"/>
              </w:rPr>
            </w:pPr>
            <w:r>
              <w:rPr>
                <w:rFonts w:hint="default" w:ascii="Times New Roman" w:hAnsi="Times New Roman" w:eastAsia="仿宋_GB2312" w:cs="Times New Roman"/>
                <w:sz w:val="22"/>
                <w:szCs w:val="22"/>
                <w:lang w:eastAsia="en-US"/>
              </w:rPr>
              <w:t>（10分）</w:t>
            </w:r>
          </w:p>
        </w:tc>
        <w:tc>
          <w:tcPr>
            <w:tcW w:w="7120" w:type="dxa"/>
            <w:tcBorders>
              <w:top w:val="single" w:color="000000" w:sz="4" w:space="0"/>
              <w:left w:val="single" w:color="000000" w:sz="4" w:space="0"/>
              <w:bottom w:val="single" w:color="000000" w:sz="4" w:space="0"/>
              <w:right w:val="single" w:color="000000" w:sz="4" w:space="0"/>
            </w:tcBorders>
            <w:vAlign w:val="center"/>
          </w:tcPr>
          <w:p w14:paraId="0B05804C">
            <w:pPr>
              <w:autoSpaceDE w:val="0"/>
              <w:autoSpaceDN w:val="0"/>
              <w:adjustRightInd w:val="0"/>
              <w:spacing w:line="560" w:lineRule="exact"/>
              <w:ind w:left="312" w:right="101" w:hanging="209"/>
              <w:jc w:val="both"/>
              <w:rPr>
                <w:rFonts w:hint="default" w:ascii="Times New Roman" w:hAnsi="Times New Roman" w:eastAsia="仿宋_GB2312" w:cs="Times New Roman"/>
                <w:spacing w:val="3"/>
                <w:kern w:val="0"/>
                <w:sz w:val="22"/>
                <w:szCs w:val="22"/>
                <w:lang w:eastAsia="zh-CN"/>
              </w:rPr>
            </w:pPr>
            <w:r>
              <w:rPr>
                <w:rFonts w:hint="default" w:ascii="Times New Roman" w:hAnsi="Times New Roman" w:eastAsia="仿宋_GB2312" w:cs="Times New Roman"/>
                <w:spacing w:val="3"/>
                <w:kern w:val="0"/>
                <w:sz w:val="22"/>
                <w:szCs w:val="22"/>
                <w:lang w:eastAsia="zh-CN"/>
              </w:rPr>
              <w:t>1.手术操作指导安排符合规范</w:t>
            </w:r>
          </w:p>
        </w:tc>
        <w:tc>
          <w:tcPr>
            <w:tcW w:w="600" w:type="dxa"/>
            <w:tcBorders>
              <w:top w:val="single" w:color="000000" w:sz="4" w:space="0"/>
              <w:left w:val="single" w:color="000000" w:sz="4" w:space="0"/>
              <w:bottom w:val="single" w:color="000000" w:sz="4" w:space="0"/>
              <w:right w:val="single" w:color="000000" w:sz="4" w:space="0"/>
            </w:tcBorders>
            <w:vAlign w:val="center"/>
          </w:tcPr>
          <w:p w14:paraId="115C0F21">
            <w:pPr>
              <w:ind w:right="1"/>
              <w:jc w:val="center"/>
              <w:rPr>
                <w:rFonts w:hint="default" w:ascii="Times New Roman" w:hAnsi="Times New Roman" w:eastAsia="仿宋_GB2312" w:cs="Times New Roman"/>
                <w:kern w:val="0"/>
                <w:sz w:val="22"/>
                <w:szCs w:val="22"/>
                <w:lang w:eastAsia="en-US"/>
              </w:rPr>
            </w:pPr>
            <w:r>
              <w:rPr>
                <w:rFonts w:hint="default" w:ascii="Times New Roman" w:hAnsi="Times New Roman" w:eastAsia="仿宋_GB2312" w:cs="Times New Roman"/>
                <w:w w:val="99"/>
                <w:kern w:val="0"/>
                <w:sz w:val="22"/>
                <w:szCs w:val="22"/>
                <w:lang w:eastAsia="en-US"/>
              </w:rPr>
              <w:t>5</w:t>
            </w:r>
          </w:p>
        </w:tc>
        <w:tc>
          <w:tcPr>
            <w:tcW w:w="586" w:type="dxa"/>
            <w:tcBorders>
              <w:top w:val="single" w:color="000000" w:sz="4" w:space="0"/>
              <w:left w:val="single" w:color="000000" w:sz="4" w:space="0"/>
              <w:bottom w:val="single" w:color="000000" w:sz="4" w:space="0"/>
              <w:right w:val="single" w:color="000000" w:sz="4" w:space="0"/>
            </w:tcBorders>
            <w:vAlign w:val="center"/>
          </w:tcPr>
          <w:p w14:paraId="3BCBCCFF">
            <w:pPr>
              <w:jc w:val="center"/>
              <w:rPr>
                <w:rFonts w:hint="default" w:ascii="Times New Roman" w:hAnsi="Times New Roman" w:eastAsia="仿宋_GB2312" w:cs="Times New Roman"/>
                <w:kern w:val="0"/>
                <w:sz w:val="22"/>
                <w:szCs w:val="22"/>
                <w:lang w:eastAsia="en-US"/>
              </w:rPr>
            </w:pPr>
          </w:p>
        </w:tc>
        <w:tc>
          <w:tcPr>
            <w:tcW w:w="783" w:type="dxa"/>
            <w:tcBorders>
              <w:top w:val="single" w:color="000000" w:sz="4" w:space="0"/>
              <w:left w:val="single" w:color="000000" w:sz="4" w:space="0"/>
              <w:bottom w:val="single" w:color="000000" w:sz="4" w:space="0"/>
              <w:right w:val="single" w:color="000000" w:sz="4" w:space="0"/>
            </w:tcBorders>
            <w:vAlign w:val="center"/>
          </w:tcPr>
          <w:p w14:paraId="08F30662">
            <w:pPr>
              <w:jc w:val="center"/>
              <w:rPr>
                <w:rFonts w:hint="default" w:ascii="Times New Roman" w:hAnsi="Times New Roman" w:eastAsia="仿宋_GB2312" w:cs="Times New Roman"/>
                <w:kern w:val="0"/>
                <w:sz w:val="22"/>
                <w:szCs w:val="22"/>
                <w:lang w:eastAsia="en-US"/>
              </w:rPr>
            </w:pPr>
          </w:p>
        </w:tc>
      </w:tr>
      <w:tr w14:paraId="3A7E0E6A">
        <w:tblPrEx>
          <w:tblCellMar>
            <w:top w:w="0" w:type="dxa"/>
            <w:left w:w="0" w:type="dxa"/>
            <w:bottom w:w="0" w:type="dxa"/>
            <w:right w:w="0" w:type="dxa"/>
          </w:tblCellMar>
        </w:tblPrEx>
        <w:trPr>
          <w:trHeight w:val="680" w:hRule="exact"/>
        </w:trPr>
        <w:tc>
          <w:tcPr>
            <w:tcW w:w="926" w:type="dxa"/>
            <w:vMerge w:val="continue"/>
            <w:tcBorders>
              <w:left w:val="single" w:color="000000" w:sz="4" w:space="0"/>
              <w:right w:val="single" w:color="000000" w:sz="4" w:space="0"/>
            </w:tcBorders>
            <w:vAlign w:val="center"/>
          </w:tcPr>
          <w:p w14:paraId="7ED4EA46">
            <w:pPr>
              <w:autoSpaceDE w:val="0"/>
              <w:autoSpaceDN w:val="0"/>
              <w:adjustRightInd w:val="0"/>
              <w:spacing w:line="560" w:lineRule="exact"/>
              <w:ind w:left="312" w:right="101" w:hanging="209"/>
              <w:jc w:val="center"/>
              <w:rPr>
                <w:rFonts w:hint="default" w:ascii="Times New Roman" w:hAnsi="Times New Roman" w:eastAsia="仿宋_GB2312" w:cs="Times New Roman"/>
                <w:spacing w:val="3"/>
                <w:kern w:val="0"/>
                <w:sz w:val="22"/>
                <w:szCs w:val="22"/>
                <w:lang w:eastAsia="en-US"/>
              </w:rPr>
            </w:pPr>
          </w:p>
        </w:tc>
        <w:tc>
          <w:tcPr>
            <w:tcW w:w="7120" w:type="dxa"/>
            <w:tcBorders>
              <w:top w:val="single" w:color="000000" w:sz="4" w:space="0"/>
              <w:left w:val="single" w:color="000000" w:sz="4" w:space="0"/>
              <w:bottom w:val="single" w:color="000000" w:sz="4" w:space="0"/>
              <w:right w:val="single" w:color="000000" w:sz="4" w:space="0"/>
            </w:tcBorders>
            <w:vAlign w:val="center"/>
          </w:tcPr>
          <w:p w14:paraId="5A0126B6">
            <w:pPr>
              <w:autoSpaceDE w:val="0"/>
              <w:autoSpaceDN w:val="0"/>
              <w:adjustRightInd w:val="0"/>
              <w:spacing w:line="560" w:lineRule="exact"/>
              <w:ind w:left="312" w:right="101" w:hanging="209"/>
              <w:jc w:val="both"/>
              <w:rPr>
                <w:rFonts w:hint="default" w:ascii="Times New Roman" w:hAnsi="Times New Roman" w:eastAsia="仿宋_GB2312" w:cs="Times New Roman"/>
                <w:spacing w:val="3"/>
                <w:kern w:val="0"/>
                <w:sz w:val="22"/>
                <w:szCs w:val="22"/>
                <w:lang w:eastAsia="zh-CN"/>
              </w:rPr>
            </w:pPr>
            <w:r>
              <w:rPr>
                <w:rFonts w:hint="default" w:ascii="Times New Roman" w:hAnsi="Times New Roman" w:eastAsia="仿宋_GB2312" w:cs="Times New Roman"/>
                <w:spacing w:val="3"/>
                <w:kern w:val="0"/>
                <w:sz w:val="22"/>
                <w:szCs w:val="22"/>
                <w:lang w:eastAsia="zh-CN"/>
              </w:rPr>
              <w:t>2.手术操作指导指导医师符合要求</w:t>
            </w:r>
          </w:p>
        </w:tc>
        <w:tc>
          <w:tcPr>
            <w:tcW w:w="600" w:type="dxa"/>
            <w:tcBorders>
              <w:top w:val="single" w:color="000000" w:sz="4" w:space="0"/>
              <w:left w:val="single" w:color="000000" w:sz="4" w:space="0"/>
              <w:bottom w:val="single" w:color="000000" w:sz="4" w:space="0"/>
              <w:right w:val="single" w:color="000000" w:sz="4" w:space="0"/>
            </w:tcBorders>
            <w:vAlign w:val="center"/>
          </w:tcPr>
          <w:p w14:paraId="6D31A053">
            <w:pPr>
              <w:ind w:right="1"/>
              <w:jc w:val="center"/>
              <w:rPr>
                <w:rFonts w:hint="default" w:ascii="Times New Roman" w:hAnsi="Times New Roman" w:eastAsia="仿宋_GB2312" w:cs="Times New Roman"/>
                <w:kern w:val="0"/>
                <w:sz w:val="22"/>
                <w:szCs w:val="22"/>
                <w:lang w:eastAsia="en-US"/>
              </w:rPr>
            </w:pPr>
            <w:r>
              <w:rPr>
                <w:rFonts w:hint="default" w:ascii="Times New Roman" w:hAnsi="Times New Roman" w:eastAsia="仿宋_GB2312" w:cs="Times New Roman"/>
                <w:kern w:val="0"/>
                <w:sz w:val="22"/>
                <w:szCs w:val="22"/>
                <w:lang w:eastAsia="en-US"/>
              </w:rPr>
              <w:t>5</w:t>
            </w:r>
          </w:p>
        </w:tc>
        <w:tc>
          <w:tcPr>
            <w:tcW w:w="586" w:type="dxa"/>
            <w:tcBorders>
              <w:top w:val="single" w:color="000000" w:sz="4" w:space="0"/>
              <w:left w:val="single" w:color="000000" w:sz="4" w:space="0"/>
              <w:bottom w:val="single" w:color="000000" w:sz="4" w:space="0"/>
              <w:right w:val="single" w:color="000000" w:sz="4" w:space="0"/>
            </w:tcBorders>
            <w:vAlign w:val="center"/>
          </w:tcPr>
          <w:p w14:paraId="3FBC6B6F">
            <w:pPr>
              <w:jc w:val="center"/>
              <w:rPr>
                <w:rFonts w:hint="default" w:ascii="Times New Roman" w:hAnsi="Times New Roman" w:eastAsia="仿宋_GB2312" w:cs="Times New Roman"/>
                <w:kern w:val="0"/>
                <w:sz w:val="22"/>
                <w:szCs w:val="22"/>
                <w:lang w:eastAsia="en-US"/>
              </w:rPr>
            </w:pPr>
          </w:p>
        </w:tc>
        <w:tc>
          <w:tcPr>
            <w:tcW w:w="783" w:type="dxa"/>
            <w:tcBorders>
              <w:top w:val="single" w:color="000000" w:sz="4" w:space="0"/>
              <w:left w:val="single" w:color="000000" w:sz="4" w:space="0"/>
              <w:bottom w:val="single" w:color="000000" w:sz="4" w:space="0"/>
              <w:right w:val="single" w:color="000000" w:sz="4" w:space="0"/>
            </w:tcBorders>
            <w:vAlign w:val="center"/>
          </w:tcPr>
          <w:p w14:paraId="35F734BE">
            <w:pPr>
              <w:jc w:val="center"/>
              <w:rPr>
                <w:rFonts w:hint="default" w:ascii="Times New Roman" w:hAnsi="Times New Roman" w:eastAsia="仿宋_GB2312" w:cs="Times New Roman"/>
                <w:kern w:val="0"/>
                <w:sz w:val="22"/>
                <w:szCs w:val="22"/>
                <w:lang w:eastAsia="en-US"/>
              </w:rPr>
            </w:pPr>
          </w:p>
        </w:tc>
      </w:tr>
      <w:tr w14:paraId="71EDBD1D">
        <w:tblPrEx>
          <w:tblCellMar>
            <w:top w:w="0" w:type="dxa"/>
            <w:left w:w="0" w:type="dxa"/>
            <w:bottom w:w="0" w:type="dxa"/>
            <w:right w:w="0" w:type="dxa"/>
          </w:tblCellMar>
        </w:tblPrEx>
        <w:trPr>
          <w:trHeight w:val="680" w:hRule="exact"/>
        </w:trPr>
        <w:tc>
          <w:tcPr>
            <w:tcW w:w="926" w:type="dxa"/>
            <w:vMerge w:val="restart"/>
            <w:tcBorders>
              <w:top w:val="single" w:color="000000" w:sz="4" w:space="0"/>
              <w:left w:val="single" w:color="000000" w:sz="4" w:space="0"/>
              <w:right w:val="single" w:color="000000" w:sz="4" w:space="0"/>
            </w:tcBorders>
            <w:vAlign w:val="center"/>
          </w:tcPr>
          <w:p w14:paraId="42984F61">
            <w:pPr>
              <w:jc w:val="center"/>
              <w:rPr>
                <w:rFonts w:hint="default" w:ascii="Times New Roman" w:hAnsi="Times New Roman" w:eastAsia="仿宋_GB2312" w:cs="Times New Roman"/>
                <w:kern w:val="0"/>
                <w:sz w:val="22"/>
                <w:szCs w:val="22"/>
                <w:lang w:eastAsia="en-US"/>
              </w:rPr>
            </w:pPr>
          </w:p>
          <w:p w14:paraId="6BC5FF07">
            <w:pPr>
              <w:jc w:val="center"/>
              <w:rPr>
                <w:rFonts w:hint="default" w:ascii="Times New Roman" w:hAnsi="Times New Roman" w:eastAsia="仿宋_GB2312" w:cs="Times New Roman"/>
                <w:kern w:val="0"/>
                <w:sz w:val="22"/>
                <w:szCs w:val="22"/>
                <w:lang w:eastAsia="en-US"/>
              </w:rPr>
            </w:pPr>
          </w:p>
          <w:p w14:paraId="28FD5DB1">
            <w:pPr>
              <w:jc w:val="center"/>
              <w:rPr>
                <w:rFonts w:hint="default" w:ascii="Times New Roman" w:hAnsi="Times New Roman" w:eastAsia="仿宋_GB2312" w:cs="Times New Roman"/>
                <w:kern w:val="0"/>
                <w:sz w:val="22"/>
                <w:szCs w:val="22"/>
                <w:lang w:eastAsia="en-US"/>
              </w:rPr>
            </w:pPr>
          </w:p>
          <w:p w14:paraId="1213212D">
            <w:pPr>
              <w:jc w:val="center"/>
              <w:rPr>
                <w:rFonts w:hint="default" w:ascii="Times New Roman" w:hAnsi="Times New Roman" w:eastAsia="仿宋_GB2312" w:cs="Times New Roman"/>
                <w:kern w:val="0"/>
                <w:sz w:val="22"/>
                <w:szCs w:val="22"/>
                <w:lang w:eastAsia="en-US"/>
              </w:rPr>
            </w:pPr>
          </w:p>
          <w:p w14:paraId="47E62E88">
            <w:pPr>
              <w:autoSpaceDE w:val="0"/>
              <w:autoSpaceDN w:val="0"/>
              <w:adjustRightInd w:val="0"/>
              <w:jc w:val="center"/>
              <w:rPr>
                <w:rFonts w:hint="default" w:ascii="Times New Roman" w:hAnsi="Times New Roman" w:eastAsia="仿宋_GB2312" w:cs="Times New Roman"/>
                <w:kern w:val="0"/>
                <w:sz w:val="22"/>
                <w:szCs w:val="22"/>
                <w:lang w:eastAsia="en-US"/>
              </w:rPr>
            </w:pPr>
            <w:r>
              <w:rPr>
                <w:rFonts w:hint="default" w:ascii="Times New Roman" w:hAnsi="Times New Roman" w:eastAsia="仿宋_GB2312" w:cs="Times New Roman"/>
                <w:kern w:val="0"/>
                <w:sz w:val="22"/>
                <w:szCs w:val="22"/>
                <w:lang w:eastAsia="en-US"/>
              </w:rPr>
              <w:t>教学</w:t>
            </w:r>
          </w:p>
          <w:p w14:paraId="3B416D1E">
            <w:pPr>
              <w:autoSpaceDE w:val="0"/>
              <w:autoSpaceDN w:val="0"/>
              <w:adjustRightInd w:val="0"/>
              <w:jc w:val="center"/>
              <w:rPr>
                <w:rFonts w:hint="default" w:ascii="Times New Roman" w:hAnsi="Times New Roman" w:eastAsia="仿宋_GB2312" w:cs="Times New Roman"/>
                <w:kern w:val="0"/>
                <w:sz w:val="22"/>
                <w:szCs w:val="22"/>
                <w:lang w:eastAsia="en-US"/>
              </w:rPr>
            </w:pPr>
            <w:r>
              <w:rPr>
                <w:rFonts w:hint="default" w:ascii="Times New Roman" w:hAnsi="Times New Roman" w:eastAsia="仿宋_GB2312" w:cs="Times New Roman"/>
                <w:kern w:val="0"/>
                <w:sz w:val="22"/>
                <w:szCs w:val="22"/>
                <w:lang w:eastAsia="en-US"/>
              </w:rPr>
              <w:t>过程</w:t>
            </w:r>
          </w:p>
          <w:p w14:paraId="1CDE9E82">
            <w:pPr>
              <w:autoSpaceDE w:val="0"/>
              <w:autoSpaceDN w:val="0"/>
              <w:adjustRightInd w:val="0"/>
              <w:jc w:val="center"/>
              <w:rPr>
                <w:rFonts w:hint="default" w:ascii="Times New Roman" w:hAnsi="Times New Roman" w:eastAsia="仿宋_GB2312" w:cs="Times New Roman"/>
                <w:kern w:val="0"/>
                <w:sz w:val="22"/>
                <w:szCs w:val="22"/>
                <w:lang w:eastAsia="en-US"/>
              </w:rPr>
            </w:pPr>
            <w:r>
              <w:rPr>
                <w:rFonts w:hint="default" w:ascii="Times New Roman" w:hAnsi="Times New Roman" w:eastAsia="仿宋_GB2312" w:cs="Times New Roman"/>
                <w:kern w:val="0"/>
                <w:sz w:val="22"/>
                <w:szCs w:val="22"/>
                <w:lang w:eastAsia="en-US"/>
              </w:rPr>
              <w:t>（40分）</w:t>
            </w:r>
          </w:p>
          <w:p w14:paraId="5361DE4E">
            <w:pPr>
              <w:jc w:val="center"/>
              <w:rPr>
                <w:rFonts w:hint="default" w:ascii="Times New Roman" w:hAnsi="Times New Roman" w:eastAsia="仿宋_GB2312" w:cs="Times New Roman"/>
                <w:kern w:val="0"/>
                <w:sz w:val="22"/>
                <w:szCs w:val="22"/>
                <w:lang w:eastAsia="en-US"/>
              </w:rPr>
            </w:pPr>
          </w:p>
          <w:p w14:paraId="052848E2">
            <w:pPr>
              <w:spacing w:before="1"/>
              <w:jc w:val="center"/>
              <w:rPr>
                <w:rFonts w:hint="default" w:ascii="Times New Roman" w:hAnsi="Times New Roman" w:eastAsia="仿宋_GB2312" w:cs="Times New Roman"/>
                <w:kern w:val="0"/>
                <w:sz w:val="22"/>
                <w:szCs w:val="22"/>
                <w:lang w:eastAsia="en-US"/>
              </w:rPr>
            </w:pPr>
          </w:p>
          <w:p w14:paraId="53A66475">
            <w:pPr>
              <w:spacing w:before="70" w:line="487" w:lineRule="auto"/>
              <w:ind w:left="185" w:right="183"/>
              <w:jc w:val="center"/>
              <w:rPr>
                <w:rFonts w:hint="default" w:ascii="Times New Roman" w:hAnsi="Times New Roman" w:eastAsia="仿宋_GB2312" w:cs="Times New Roman"/>
                <w:kern w:val="0"/>
                <w:sz w:val="22"/>
                <w:szCs w:val="22"/>
                <w:lang w:eastAsia="en-US"/>
              </w:rPr>
            </w:pPr>
          </w:p>
        </w:tc>
        <w:tc>
          <w:tcPr>
            <w:tcW w:w="7120" w:type="dxa"/>
            <w:tcBorders>
              <w:top w:val="single" w:color="000000" w:sz="4" w:space="0"/>
              <w:left w:val="single" w:color="000000" w:sz="4" w:space="0"/>
              <w:bottom w:val="single" w:color="000000" w:sz="4" w:space="0"/>
              <w:right w:val="single" w:color="000000" w:sz="4" w:space="0"/>
            </w:tcBorders>
            <w:vAlign w:val="center"/>
          </w:tcPr>
          <w:p w14:paraId="060CE837">
            <w:pPr>
              <w:ind w:left="312" w:hanging="209"/>
              <w:jc w:val="both"/>
              <w:rPr>
                <w:rFonts w:hint="default" w:ascii="Times New Roman" w:hAnsi="Times New Roman" w:eastAsia="仿宋_GB2312" w:cs="Times New Roman"/>
                <w:kern w:val="0"/>
                <w:sz w:val="22"/>
                <w:szCs w:val="22"/>
                <w:lang w:eastAsia="zh-CN"/>
              </w:rPr>
            </w:pPr>
          </w:p>
          <w:p w14:paraId="505FC57E">
            <w:pPr>
              <w:ind w:left="312" w:hanging="209"/>
              <w:jc w:val="both"/>
              <w:rPr>
                <w:rFonts w:hint="default" w:ascii="Times New Roman" w:hAnsi="Times New Roman" w:eastAsia="仿宋_GB2312" w:cs="Times New Roman"/>
                <w:kern w:val="0"/>
                <w:sz w:val="22"/>
                <w:szCs w:val="22"/>
                <w:lang w:eastAsia="zh-CN"/>
              </w:rPr>
            </w:pPr>
            <w:r>
              <w:rPr>
                <w:rFonts w:hint="default" w:ascii="Times New Roman" w:hAnsi="Times New Roman" w:eastAsia="仿宋_GB2312" w:cs="Times New Roman"/>
                <w:spacing w:val="3"/>
                <w:kern w:val="0"/>
                <w:sz w:val="22"/>
                <w:szCs w:val="22"/>
                <w:lang w:eastAsia="zh-CN"/>
              </w:rPr>
              <w:t>1.</w:t>
            </w:r>
            <w:r>
              <w:rPr>
                <w:rFonts w:hint="default" w:ascii="Times New Roman" w:hAnsi="Times New Roman" w:eastAsia="仿宋_GB2312" w:cs="Times New Roman"/>
                <w:kern w:val="0"/>
                <w:sz w:val="22"/>
                <w:szCs w:val="22"/>
                <w:lang w:eastAsia="zh-CN"/>
              </w:rPr>
              <w:t>手术项目选择和教学模式符合住院医师水平</w:t>
            </w:r>
          </w:p>
        </w:tc>
        <w:tc>
          <w:tcPr>
            <w:tcW w:w="600" w:type="dxa"/>
            <w:tcBorders>
              <w:top w:val="single" w:color="000000" w:sz="4" w:space="0"/>
              <w:left w:val="single" w:color="000000" w:sz="4" w:space="0"/>
              <w:bottom w:val="single" w:color="000000" w:sz="4" w:space="0"/>
              <w:right w:val="single" w:color="000000" w:sz="4" w:space="0"/>
            </w:tcBorders>
            <w:vAlign w:val="center"/>
          </w:tcPr>
          <w:p w14:paraId="4C9B6A81">
            <w:pPr>
              <w:ind w:right="1"/>
              <w:jc w:val="center"/>
              <w:rPr>
                <w:rFonts w:hint="default" w:ascii="Times New Roman" w:hAnsi="Times New Roman" w:eastAsia="仿宋_GB2312" w:cs="Times New Roman"/>
                <w:kern w:val="0"/>
                <w:sz w:val="22"/>
                <w:szCs w:val="22"/>
                <w:lang w:eastAsia="en-US"/>
              </w:rPr>
            </w:pPr>
            <w:r>
              <w:rPr>
                <w:rFonts w:hint="default" w:ascii="Times New Roman" w:hAnsi="Times New Roman" w:eastAsia="仿宋_GB2312" w:cs="Times New Roman"/>
                <w:w w:val="99"/>
                <w:kern w:val="0"/>
                <w:sz w:val="22"/>
                <w:szCs w:val="22"/>
                <w:lang w:eastAsia="en-US"/>
              </w:rPr>
              <w:t>5</w:t>
            </w:r>
          </w:p>
        </w:tc>
        <w:tc>
          <w:tcPr>
            <w:tcW w:w="586" w:type="dxa"/>
            <w:tcBorders>
              <w:top w:val="single" w:color="000000" w:sz="4" w:space="0"/>
              <w:left w:val="single" w:color="000000" w:sz="4" w:space="0"/>
              <w:bottom w:val="single" w:color="000000" w:sz="4" w:space="0"/>
              <w:right w:val="single" w:color="000000" w:sz="4" w:space="0"/>
            </w:tcBorders>
            <w:vAlign w:val="center"/>
          </w:tcPr>
          <w:p w14:paraId="61F36BBA">
            <w:pPr>
              <w:jc w:val="center"/>
              <w:rPr>
                <w:rFonts w:hint="default" w:ascii="Times New Roman" w:hAnsi="Times New Roman" w:eastAsia="仿宋_GB2312" w:cs="Times New Roman"/>
                <w:kern w:val="0"/>
                <w:sz w:val="22"/>
                <w:szCs w:val="22"/>
                <w:lang w:eastAsia="en-US"/>
              </w:rPr>
            </w:pPr>
          </w:p>
        </w:tc>
        <w:tc>
          <w:tcPr>
            <w:tcW w:w="783" w:type="dxa"/>
            <w:tcBorders>
              <w:top w:val="single" w:color="000000" w:sz="4" w:space="0"/>
              <w:left w:val="single" w:color="000000" w:sz="4" w:space="0"/>
              <w:bottom w:val="single" w:color="000000" w:sz="4" w:space="0"/>
              <w:right w:val="single" w:color="000000" w:sz="4" w:space="0"/>
            </w:tcBorders>
            <w:vAlign w:val="center"/>
          </w:tcPr>
          <w:p w14:paraId="105680BF">
            <w:pPr>
              <w:jc w:val="center"/>
              <w:rPr>
                <w:rFonts w:hint="default" w:ascii="Times New Roman" w:hAnsi="Times New Roman" w:eastAsia="仿宋_GB2312" w:cs="Times New Roman"/>
                <w:kern w:val="0"/>
                <w:sz w:val="22"/>
                <w:szCs w:val="22"/>
                <w:lang w:eastAsia="en-US"/>
              </w:rPr>
            </w:pPr>
          </w:p>
        </w:tc>
      </w:tr>
      <w:tr w14:paraId="12AB1AE6">
        <w:tblPrEx>
          <w:tblCellMar>
            <w:top w:w="0" w:type="dxa"/>
            <w:left w:w="0" w:type="dxa"/>
            <w:bottom w:w="0" w:type="dxa"/>
            <w:right w:w="0" w:type="dxa"/>
          </w:tblCellMar>
        </w:tblPrEx>
        <w:trPr>
          <w:trHeight w:val="680" w:hRule="exact"/>
        </w:trPr>
        <w:tc>
          <w:tcPr>
            <w:tcW w:w="926" w:type="dxa"/>
            <w:vMerge w:val="continue"/>
            <w:tcBorders>
              <w:left w:val="single" w:color="000000" w:sz="4" w:space="0"/>
              <w:right w:val="single" w:color="000000" w:sz="4" w:space="0"/>
            </w:tcBorders>
            <w:vAlign w:val="center"/>
          </w:tcPr>
          <w:p w14:paraId="14E99089">
            <w:pPr>
              <w:jc w:val="center"/>
              <w:rPr>
                <w:rFonts w:hint="default" w:ascii="Times New Roman" w:hAnsi="Times New Roman" w:eastAsia="仿宋_GB2312" w:cs="Times New Roman"/>
                <w:kern w:val="0"/>
                <w:sz w:val="22"/>
                <w:szCs w:val="22"/>
                <w:lang w:eastAsia="en-US"/>
              </w:rPr>
            </w:pPr>
          </w:p>
        </w:tc>
        <w:tc>
          <w:tcPr>
            <w:tcW w:w="7120" w:type="dxa"/>
            <w:tcBorders>
              <w:top w:val="single" w:color="000000" w:sz="4" w:space="0"/>
              <w:left w:val="single" w:color="000000" w:sz="4" w:space="0"/>
              <w:bottom w:val="single" w:color="000000" w:sz="4" w:space="0"/>
              <w:right w:val="single" w:color="000000" w:sz="4" w:space="0"/>
            </w:tcBorders>
            <w:vAlign w:val="center"/>
          </w:tcPr>
          <w:p w14:paraId="14F710F0">
            <w:pPr>
              <w:spacing w:line="560" w:lineRule="exact"/>
              <w:ind w:left="312" w:right="101" w:hanging="209"/>
              <w:jc w:val="both"/>
              <w:rPr>
                <w:rFonts w:hint="default" w:ascii="Times New Roman" w:hAnsi="Times New Roman" w:eastAsia="仿宋_GB2312" w:cs="Times New Roman"/>
                <w:kern w:val="0"/>
                <w:sz w:val="22"/>
                <w:szCs w:val="22"/>
                <w:lang w:eastAsia="en-US"/>
              </w:rPr>
            </w:pPr>
            <w:r>
              <w:rPr>
                <w:rFonts w:hint="default" w:ascii="Times New Roman" w:hAnsi="Times New Roman" w:eastAsia="仿宋_GB2312" w:cs="Times New Roman"/>
                <w:spacing w:val="3"/>
                <w:kern w:val="0"/>
                <w:sz w:val="22"/>
                <w:szCs w:val="22"/>
                <w:lang w:eastAsia="en-US"/>
              </w:rPr>
              <w:t>2.</w:t>
            </w:r>
            <w:r>
              <w:rPr>
                <w:rFonts w:hint="default" w:ascii="Times New Roman" w:hAnsi="Times New Roman" w:eastAsia="仿宋_GB2312" w:cs="Times New Roman"/>
                <w:kern w:val="0"/>
                <w:sz w:val="22"/>
                <w:szCs w:val="22"/>
                <w:lang w:eastAsia="en-US"/>
              </w:rPr>
              <w:t>指导医师准备充分</w:t>
            </w:r>
          </w:p>
        </w:tc>
        <w:tc>
          <w:tcPr>
            <w:tcW w:w="600" w:type="dxa"/>
            <w:tcBorders>
              <w:top w:val="single" w:color="000000" w:sz="4" w:space="0"/>
              <w:left w:val="single" w:color="000000" w:sz="4" w:space="0"/>
              <w:bottom w:val="single" w:color="000000" w:sz="4" w:space="0"/>
              <w:right w:val="single" w:color="000000" w:sz="4" w:space="0"/>
            </w:tcBorders>
            <w:vAlign w:val="center"/>
          </w:tcPr>
          <w:p w14:paraId="679E2FEF">
            <w:pPr>
              <w:ind w:right="1"/>
              <w:jc w:val="center"/>
              <w:rPr>
                <w:rFonts w:hint="default" w:ascii="Times New Roman" w:hAnsi="Times New Roman" w:eastAsia="仿宋_GB2312" w:cs="Times New Roman"/>
                <w:kern w:val="0"/>
                <w:sz w:val="22"/>
                <w:szCs w:val="22"/>
                <w:lang w:eastAsia="en-US"/>
              </w:rPr>
            </w:pPr>
            <w:r>
              <w:rPr>
                <w:rFonts w:hint="default" w:ascii="Times New Roman" w:hAnsi="Times New Roman" w:eastAsia="仿宋_GB2312" w:cs="Times New Roman"/>
                <w:w w:val="99"/>
                <w:kern w:val="0"/>
                <w:sz w:val="22"/>
                <w:szCs w:val="22"/>
                <w:lang w:eastAsia="en-US"/>
              </w:rPr>
              <w:t>5</w:t>
            </w:r>
          </w:p>
        </w:tc>
        <w:tc>
          <w:tcPr>
            <w:tcW w:w="586" w:type="dxa"/>
            <w:tcBorders>
              <w:top w:val="single" w:color="000000" w:sz="4" w:space="0"/>
              <w:left w:val="single" w:color="000000" w:sz="4" w:space="0"/>
              <w:bottom w:val="single" w:color="000000" w:sz="4" w:space="0"/>
              <w:right w:val="single" w:color="000000" w:sz="4" w:space="0"/>
            </w:tcBorders>
            <w:vAlign w:val="center"/>
          </w:tcPr>
          <w:p w14:paraId="3371D201">
            <w:pPr>
              <w:jc w:val="center"/>
              <w:rPr>
                <w:rFonts w:hint="default" w:ascii="Times New Roman" w:hAnsi="Times New Roman" w:eastAsia="仿宋_GB2312" w:cs="Times New Roman"/>
                <w:kern w:val="0"/>
                <w:sz w:val="22"/>
                <w:szCs w:val="22"/>
                <w:lang w:eastAsia="en-US"/>
              </w:rPr>
            </w:pPr>
          </w:p>
        </w:tc>
        <w:tc>
          <w:tcPr>
            <w:tcW w:w="783" w:type="dxa"/>
            <w:tcBorders>
              <w:top w:val="single" w:color="000000" w:sz="4" w:space="0"/>
              <w:left w:val="single" w:color="000000" w:sz="4" w:space="0"/>
              <w:bottom w:val="single" w:color="000000" w:sz="4" w:space="0"/>
              <w:right w:val="single" w:color="000000" w:sz="4" w:space="0"/>
            </w:tcBorders>
            <w:vAlign w:val="center"/>
          </w:tcPr>
          <w:p w14:paraId="3D627F7B">
            <w:pPr>
              <w:jc w:val="center"/>
              <w:rPr>
                <w:rFonts w:hint="default" w:ascii="Times New Roman" w:hAnsi="Times New Roman" w:eastAsia="仿宋_GB2312" w:cs="Times New Roman"/>
                <w:kern w:val="0"/>
                <w:sz w:val="22"/>
                <w:szCs w:val="22"/>
                <w:lang w:eastAsia="en-US"/>
              </w:rPr>
            </w:pPr>
          </w:p>
        </w:tc>
      </w:tr>
      <w:tr w14:paraId="421B7D8E">
        <w:tblPrEx>
          <w:tblCellMar>
            <w:top w:w="0" w:type="dxa"/>
            <w:left w:w="0" w:type="dxa"/>
            <w:bottom w:w="0" w:type="dxa"/>
            <w:right w:w="0" w:type="dxa"/>
          </w:tblCellMar>
        </w:tblPrEx>
        <w:trPr>
          <w:trHeight w:val="680" w:hRule="exact"/>
        </w:trPr>
        <w:tc>
          <w:tcPr>
            <w:tcW w:w="926" w:type="dxa"/>
            <w:vMerge w:val="continue"/>
            <w:tcBorders>
              <w:left w:val="single" w:color="000000" w:sz="4" w:space="0"/>
              <w:right w:val="single" w:color="000000" w:sz="4" w:space="0"/>
            </w:tcBorders>
            <w:vAlign w:val="center"/>
          </w:tcPr>
          <w:p w14:paraId="3F87BE68">
            <w:pPr>
              <w:jc w:val="center"/>
              <w:rPr>
                <w:rFonts w:hint="default" w:ascii="Times New Roman" w:hAnsi="Times New Roman" w:eastAsia="仿宋_GB2312" w:cs="Times New Roman"/>
                <w:kern w:val="0"/>
                <w:sz w:val="22"/>
                <w:szCs w:val="22"/>
                <w:lang w:eastAsia="en-US"/>
              </w:rPr>
            </w:pPr>
          </w:p>
        </w:tc>
        <w:tc>
          <w:tcPr>
            <w:tcW w:w="7120" w:type="dxa"/>
            <w:tcBorders>
              <w:top w:val="single" w:color="000000" w:sz="4" w:space="0"/>
              <w:left w:val="single" w:color="000000" w:sz="4" w:space="0"/>
              <w:bottom w:val="single" w:color="000000" w:sz="4" w:space="0"/>
              <w:right w:val="single" w:color="000000" w:sz="4" w:space="0"/>
            </w:tcBorders>
            <w:vAlign w:val="center"/>
          </w:tcPr>
          <w:p w14:paraId="01E3CD69">
            <w:pPr>
              <w:spacing w:before="7"/>
              <w:jc w:val="both"/>
              <w:rPr>
                <w:rFonts w:hint="default" w:ascii="Times New Roman" w:hAnsi="Times New Roman" w:eastAsia="仿宋_GB2312" w:cs="Times New Roman"/>
                <w:kern w:val="0"/>
                <w:sz w:val="22"/>
                <w:szCs w:val="22"/>
                <w:lang w:eastAsia="en-US"/>
              </w:rPr>
            </w:pPr>
          </w:p>
          <w:p w14:paraId="362CDBDE">
            <w:pPr>
              <w:ind w:left="103"/>
              <w:jc w:val="both"/>
              <w:rPr>
                <w:rFonts w:hint="default" w:ascii="Times New Roman" w:hAnsi="Times New Roman" w:eastAsia="仿宋_GB2312" w:cs="Times New Roman"/>
                <w:kern w:val="0"/>
                <w:sz w:val="22"/>
                <w:szCs w:val="22"/>
                <w:lang w:eastAsia="en-US"/>
              </w:rPr>
            </w:pPr>
            <w:r>
              <w:rPr>
                <w:rFonts w:hint="default" w:ascii="Times New Roman" w:hAnsi="Times New Roman" w:eastAsia="仿宋_GB2312" w:cs="Times New Roman"/>
                <w:kern w:val="0"/>
                <w:sz w:val="22"/>
                <w:szCs w:val="22"/>
                <w:lang w:eastAsia="en-US"/>
              </w:rPr>
              <w:t>3.住院医师准备充分</w:t>
            </w:r>
          </w:p>
        </w:tc>
        <w:tc>
          <w:tcPr>
            <w:tcW w:w="600" w:type="dxa"/>
            <w:tcBorders>
              <w:top w:val="single" w:color="000000" w:sz="4" w:space="0"/>
              <w:left w:val="single" w:color="000000" w:sz="4" w:space="0"/>
              <w:bottom w:val="single" w:color="000000" w:sz="4" w:space="0"/>
              <w:right w:val="single" w:color="000000" w:sz="4" w:space="0"/>
            </w:tcBorders>
            <w:vAlign w:val="center"/>
          </w:tcPr>
          <w:p w14:paraId="7028CBFD">
            <w:pPr>
              <w:ind w:right="1"/>
              <w:jc w:val="center"/>
              <w:rPr>
                <w:rFonts w:hint="default" w:ascii="Times New Roman" w:hAnsi="Times New Roman" w:eastAsia="仿宋_GB2312" w:cs="Times New Roman"/>
                <w:kern w:val="0"/>
                <w:sz w:val="22"/>
                <w:szCs w:val="22"/>
                <w:lang w:eastAsia="en-US"/>
              </w:rPr>
            </w:pPr>
            <w:r>
              <w:rPr>
                <w:rFonts w:hint="default" w:ascii="Times New Roman" w:hAnsi="Times New Roman" w:eastAsia="仿宋_GB2312" w:cs="Times New Roman"/>
                <w:w w:val="99"/>
                <w:kern w:val="0"/>
                <w:sz w:val="22"/>
                <w:szCs w:val="22"/>
                <w:lang w:eastAsia="en-US"/>
              </w:rPr>
              <w:t>5</w:t>
            </w:r>
          </w:p>
        </w:tc>
        <w:tc>
          <w:tcPr>
            <w:tcW w:w="586" w:type="dxa"/>
            <w:tcBorders>
              <w:top w:val="single" w:color="000000" w:sz="4" w:space="0"/>
              <w:left w:val="single" w:color="000000" w:sz="4" w:space="0"/>
              <w:bottom w:val="single" w:color="000000" w:sz="4" w:space="0"/>
              <w:right w:val="single" w:color="000000" w:sz="4" w:space="0"/>
            </w:tcBorders>
            <w:vAlign w:val="center"/>
          </w:tcPr>
          <w:p w14:paraId="6C2D6552">
            <w:pPr>
              <w:jc w:val="center"/>
              <w:rPr>
                <w:rFonts w:hint="default" w:ascii="Times New Roman" w:hAnsi="Times New Roman" w:eastAsia="仿宋_GB2312" w:cs="Times New Roman"/>
                <w:kern w:val="0"/>
                <w:sz w:val="22"/>
                <w:szCs w:val="22"/>
                <w:lang w:eastAsia="en-US"/>
              </w:rPr>
            </w:pPr>
          </w:p>
        </w:tc>
        <w:tc>
          <w:tcPr>
            <w:tcW w:w="783" w:type="dxa"/>
            <w:tcBorders>
              <w:top w:val="single" w:color="000000" w:sz="4" w:space="0"/>
              <w:left w:val="single" w:color="000000" w:sz="4" w:space="0"/>
              <w:bottom w:val="single" w:color="000000" w:sz="4" w:space="0"/>
              <w:right w:val="single" w:color="000000" w:sz="4" w:space="0"/>
            </w:tcBorders>
            <w:vAlign w:val="center"/>
          </w:tcPr>
          <w:p w14:paraId="15B6F30D">
            <w:pPr>
              <w:jc w:val="center"/>
              <w:rPr>
                <w:rFonts w:hint="default" w:ascii="Times New Roman" w:hAnsi="Times New Roman" w:eastAsia="仿宋_GB2312" w:cs="Times New Roman"/>
                <w:kern w:val="0"/>
                <w:sz w:val="22"/>
                <w:szCs w:val="22"/>
                <w:lang w:eastAsia="en-US"/>
              </w:rPr>
            </w:pPr>
          </w:p>
        </w:tc>
      </w:tr>
      <w:tr w14:paraId="7B026184">
        <w:tblPrEx>
          <w:tblCellMar>
            <w:top w:w="0" w:type="dxa"/>
            <w:left w:w="0" w:type="dxa"/>
            <w:bottom w:w="0" w:type="dxa"/>
            <w:right w:w="0" w:type="dxa"/>
          </w:tblCellMar>
        </w:tblPrEx>
        <w:trPr>
          <w:trHeight w:val="680" w:hRule="exact"/>
        </w:trPr>
        <w:tc>
          <w:tcPr>
            <w:tcW w:w="926" w:type="dxa"/>
            <w:vMerge w:val="continue"/>
            <w:tcBorders>
              <w:left w:val="single" w:color="000000" w:sz="4" w:space="0"/>
              <w:right w:val="single" w:color="000000" w:sz="4" w:space="0"/>
            </w:tcBorders>
            <w:vAlign w:val="center"/>
          </w:tcPr>
          <w:p w14:paraId="4DEACD3F">
            <w:pPr>
              <w:jc w:val="center"/>
              <w:rPr>
                <w:rFonts w:hint="default" w:ascii="Times New Roman" w:hAnsi="Times New Roman" w:eastAsia="仿宋_GB2312" w:cs="Times New Roman"/>
                <w:kern w:val="0"/>
                <w:sz w:val="22"/>
                <w:szCs w:val="22"/>
                <w:lang w:eastAsia="en-US"/>
              </w:rPr>
            </w:pPr>
          </w:p>
        </w:tc>
        <w:tc>
          <w:tcPr>
            <w:tcW w:w="7120" w:type="dxa"/>
            <w:tcBorders>
              <w:top w:val="single" w:color="000000" w:sz="4" w:space="0"/>
              <w:left w:val="single" w:color="000000" w:sz="4" w:space="0"/>
              <w:bottom w:val="single" w:color="000000" w:sz="4" w:space="0"/>
              <w:right w:val="single" w:color="000000" w:sz="4" w:space="0"/>
            </w:tcBorders>
            <w:vAlign w:val="center"/>
          </w:tcPr>
          <w:p w14:paraId="222B78AA">
            <w:pPr>
              <w:spacing w:before="6"/>
              <w:jc w:val="both"/>
              <w:rPr>
                <w:rFonts w:hint="default" w:ascii="Times New Roman" w:hAnsi="Times New Roman" w:eastAsia="仿宋_GB2312" w:cs="Times New Roman"/>
                <w:kern w:val="0"/>
                <w:sz w:val="22"/>
                <w:szCs w:val="22"/>
                <w:lang w:eastAsia="zh-CN"/>
              </w:rPr>
            </w:pPr>
          </w:p>
          <w:p w14:paraId="06F67239">
            <w:pPr>
              <w:ind w:firstLine="110" w:firstLineChars="50"/>
              <w:jc w:val="both"/>
              <w:rPr>
                <w:rFonts w:hint="default" w:ascii="Times New Roman" w:hAnsi="Times New Roman" w:eastAsia="仿宋_GB2312" w:cs="Times New Roman"/>
                <w:kern w:val="0"/>
                <w:sz w:val="22"/>
                <w:szCs w:val="22"/>
                <w:lang w:eastAsia="zh-CN"/>
              </w:rPr>
            </w:pPr>
            <w:r>
              <w:rPr>
                <w:rFonts w:hint="default" w:ascii="Times New Roman" w:hAnsi="Times New Roman" w:eastAsia="仿宋_GB2312" w:cs="Times New Roman"/>
                <w:kern w:val="0"/>
                <w:sz w:val="22"/>
                <w:szCs w:val="22"/>
                <w:lang w:eastAsia="zh-CN"/>
              </w:rPr>
              <w:t>4.操作环境及设施准备符合要求</w:t>
            </w:r>
          </w:p>
        </w:tc>
        <w:tc>
          <w:tcPr>
            <w:tcW w:w="600" w:type="dxa"/>
            <w:tcBorders>
              <w:top w:val="single" w:color="000000" w:sz="4" w:space="0"/>
              <w:left w:val="single" w:color="000000" w:sz="4" w:space="0"/>
              <w:bottom w:val="single" w:color="000000" w:sz="4" w:space="0"/>
              <w:right w:val="single" w:color="000000" w:sz="4" w:space="0"/>
            </w:tcBorders>
            <w:vAlign w:val="center"/>
          </w:tcPr>
          <w:p w14:paraId="2DD09A55">
            <w:pPr>
              <w:ind w:right="1"/>
              <w:jc w:val="center"/>
              <w:rPr>
                <w:rFonts w:hint="default" w:ascii="Times New Roman" w:hAnsi="Times New Roman" w:eastAsia="仿宋_GB2312" w:cs="Times New Roman"/>
                <w:kern w:val="0"/>
                <w:sz w:val="22"/>
                <w:szCs w:val="22"/>
                <w:lang w:eastAsia="en-US"/>
              </w:rPr>
            </w:pPr>
            <w:r>
              <w:rPr>
                <w:rFonts w:hint="default" w:ascii="Times New Roman" w:hAnsi="Times New Roman" w:eastAsia="仿宋_GB2312" w:cs="Times New Roman"/>
                <w:w w:val="99"/>
                <w:kern w:val="0"/>
                <w:sz w:val="22"/>
                <w:szCs w:val="22"/>
                <w:lang w:eastAsia="en-US"/>
              </w:rPr>
              <w:t>5</w:t>
            </w:r>
          </w:p>
        </w:tc>
        <w:tc>
          <w:tcPr>
            <w:tcW w:w="586" w:type="dxa"/>
            <w:tcBorders>
              <w:top w:val="single" w:color="000000" w:sz="4" w:space="0"/>
              <w:left w:val="single" w:color="000000" w:sz="4" w:space="0"/>
              <w:bottom w:val="single" w:color="000000" w:sz="4" w:space="0"/>
              <w:right w:val="single" w:color="000000" w:sz="4" w:space="0"/>
            </w:tcBorders>
            <w:vAlign w:val="center"/>
          </w:tcPr>
          <w:p w14:paraId="33BB1EE8">
            <w:pPr>
              <w:jc w:val="center"/>
              <w:rPr>
                <w:rFonts w:hint="default" w:ascii="Times New Roman" w:hAnsi="Times New Roman" w:eastAsia="仿宋_GB2312" w:cs="Times New Roman"/>
                <w:kern w:val="0"/>
                <w:sz w:val="22"/>
                <w:szCs w:val="22"/>
                <w:lang w:eastAsia="en-US"/>
              </w:rPr>
            </w:pPr>
          </w:p>
        </w:tc>
        <w:tc>
          <w:tcPr>
            <w:tcW w:w="783" w:type="dxa"/>
            <w:tcBorders>
              <w:top w:val="single" w:color="000000" w:sz="4" w:space="0"/>
              <w:left w:val="single" w:color="000000" w:sz="4" w:space="0"/>
              <w:bottom w:val="single" w:color="000000" w:sz="4" w:space="0"/>
              <w:right w:val="single" w:color="000000" w:sz="4" w:space="0"/>
            </w:tcBorders>
            <w:vAlign w:val="center"/>
          </w:tcPr>
          <w:p w14:paraId="140ED1F0">
            <w:pPr>
              <w:jc w:val="center"/>
              <w:rPr>
                <w:rFonts w:hint="default" w:ascii="Times New Roman" w:hAnsi="Times New Roman" w:eastAsia="仿宋_GB2312" w:cs="Times New Roman"/>
                <w:kern w:val="0"/>
                <w:sz w:val="22"/>
                <w:szCs w:val="22"/>
                <w:lang w:eastAsia="en-US"/>
              </w:rPr>
            </w:pPr>
          </w:p>
        </w:tc>
      </w:tr>
      <w:tr w14:paraId="741DF248">
        <w:tblPrEx>
          <w:tblCellMar>
            <w:top w:w="0" w:type="dxa"/>
            <w:left w:w="0" w:type="dxa"/>
            <w:bottom w:w="0" w:type="dxa"/>
            <w:right w:w="0" w:type="dxa"/>
          </w:tblCellMar>
        </w:tblPrEx>
        <w:trPr>
          <w:trHeight w:val="680" w:hRule="exact"/>
        </w:trPr>
        <w:tc>
          <w:tcPr>
            <w:tcW w:w="926" w:type="dxa"/>
            <w:vMerge w:val="continue"/>
            <w:tcBorders>
              <w:left w:val="single" w:color="000000" w:sz="4" w:space="0"/>
              <w:right w:val="single" w:color="000000" w:sz="4" w:space="0"/>
            </w:tcBorders>
            <w:vAlign w:val="center"/>
          </w:tcPr>
          <w:p w14:paraId="3E216678">
            <w:pPr>
              <w:jc w:val="center"/>
              <w:rPr>
                <w:rFonts w:hint="default" w:ascii="Times New Roman" w:hAnsi="Times New Roman" w:eastAsia="仿宋_GB2312" w:cs="Times New Roman"/>
                <w:kern w:val="0"/>
                <w:sz w:val="22"/>
                <w:szCs w:val="22"/>
                <w:lang w:eastAsia="en-US"/>
              </w:rPr>
            </w:pPr>
          </w:p>
        </w:tc>
        <w:tc>
          <w:tcPr>
            <w:tcW w:w="7120" w:type="dxa"/>
            <w:tcBorders>
              <w:top w:val="single" w:color="000000" w:sz="4" w:space="0"/>
              <w:left w:val="single" w:color="000000" w:sz="4" w:space="0"/>
              <w:bottom w:val="single" w:color="000000" w:sz="4" w:space="0"/>
              <w:right w:val="single" w:color="000000" w:sz="4" w:space="0"/>
            </w:tcBorders>
            <w:vAlign w:val="center"/>
          </w:tcPr>
          <w:p w14:paraId="742DF7FF">
            <w:pPr>
              <w:spacing w:before="6"/>
              <w:jc w:val="both"/>
              <w:rPr>
                <w:rFonts w:hint="default" w:ascii="Times New Roman" w:hAnsi="Times New Roman" w:eastAsia="仿宋_GB2312" w:cs="Times New Roman"/>
                <w:kern w:val="0"/>
                <w:sz w:val="22"/>
                <w:szCs w:val="22"/>
                <w:lang w:eastAsia="zh-CN"/>
              </w:rPr>
            </w:pPr>
          </w:p>
          <w:p w14:paraId="564DDD0F">
            <w:pPr>
              <w:ind w:firstLine="110" w:firstLineChars="50"/>
              <w:jc w:val="both"/>
              <w:rPr>
                <w:rFonts w:hint="default" w:ascii="Times New Roman" w:hAnsi="Times New Roman" w:eastAsia="仿宋_GB2312" w:cs="Times New Roman"/>
                <w:kern w:val="0"/>
                <w:sz w:val="22"/>
                <w:szCs w:val="22"/>
                <w:lang w:eastAsia="zh-CN"/>
              </w:rPr>
            </w:pPr>
            <w:r>
              <w:rPr>
                <w:rFonts w:hint="default" w:ascii="Times New Roman" w:hAnsi="Times New Roman" w:eastAsia="仿宋_GB2312" w:cs="Times New Roman"/>
                <w:kern w:val="0"/>
                <w:sz w:val="22"/>
                <w:szCs w:val="22"/>
                <w:lang w:eastAsia="zh-CN"/>
              </w:rPr>
              <w:t>5.良好的医患沟通（术前、术后及术中清醒状态的医患交流）</w:t>
            </w:r>
          </w:p>
        </w:tc>
        <w:tc>
          <w:tcPr>
            <w:tcW w:w="600" w:type="dxa"/>
            <w:tcBorders>
              <w:top w:val="single" w:color="000000" w:sz="4" w:space="0"/>
              <w:left w:val="single" w:color="000000" w:sz="4" w:space="0"/>
              <w:bottom w:val="single" w:color="000000" w:sz="4" w:space="0"/>
              <w:right w:val="single" w:color="000000" w:sz="4" w:space="0"/>
            </w:tcBorders>
            <w:vAlign w:val="center"/>
          </w:tcPr>
          <w:p w14:paraId="6FCB865F">
            <w:pPr>
              <w:ind w:right="1"/>
              <w:jc w:val="center"/>
              <w:rPr>
                <w:rFonts w:hint="default" w:ascii="Times New Roman" w:hAnsi="Times New Roman" w:eastAsia="仿宋_GB2312" w:cs="Times New Roman"/>
                <w:kern w:val="0"/>
                <w:sz w:val="22"/>
                <w:szCs w:val="22"/>
                <w:lang w:eastAsia="en-US"/>
              </w:rPr>
            </w:pPr>
            <w:r>
              <w:rPr>
                <w:rFonts w:hint="default" w:ascii="Times New Roman" w:hAnsi="Times New Roman" w:eastAsia="仿宋_GB2312" w:cs="Times New Roman"/>
                <w:w w:val="99"/>
                <w:kern w:val="0"/>
                <w:sz w:val="22"/>
                <w:szCs w:val="22"/>
                <w:lang w:eastAsia="en-US"/>
              </w:rPr>
              <w:t>5</w:t>
            </w:r>
          </w:p>
        </w:tc>
        <w:tc>
          <w:tcPr>
            <w:tcW w:w="586" w:type="dxa"/>
            <w:tcBorders>
              <w:top w:val="single" w:color="000000" w:sz="4" w:space="0"/>
              <w:left w:val="single" w:color="000000" w:sz="4" w:space="0"/>
              <w:bottom w:val="single" w:color="000000" w:sz="4" w:space="0"/>
              <w:right w:val="single" w:color="000000" w:sz="4" w:space="0"/>
            </w:tcBorders>
            <w:vAlign w:val="center"/>
          </w:tcPr>
          <w:p w14:paraId="00620060">
            <w:pPr>
              <w:jc w:val="center"/>
              <w:rPr>
                <w:rFonts w:hint="default" w:ascii="Times New Roman" w:hAnsi="Times New Roman" w:eastAsia="仿宋_GB2312" w:cs="Times New Roman"/>
                <w:kern w:val="0"/>
                <w:sz w:val="22"/>
                <w:szCs w:val="22"/>
                <w:lang w:eastAsia="en-US"/>
              </w:rPr>
            </w:pPr>
          </w:p>
        </w:tc>
        <w:tc>
          <w:tcPr>
            <w:tcW w:w="783" w:type="dxa"/>
            <w:tcBorders>
              <w:top w:val="single" w:color="000000" w:sz="4" w:space="0"/>
              <w:left w:val="single" w:color="000000" w:sz="4" w:space="0"/>
              <w:bottom w:val="single" w:color="000000" w:sz="4" w:space="0"/>
              <w:right w:val="single" w:color="000000" w:sz="4" w:space="0"/>
            </w:tcBorders>
            <w:vAlign w:val="center"/>
          </w:tcPr>
          <w:p w14:paraId="0C2F9E77">
            <w:pPr>
              <w:jc w:val="center"/>
              <w:rPr>
                <w:rFonts w:hint="default" w:ascii="Times New Roman" w:hAnsi="Times New Roman" w:eastAsia="仿宋_GB2312" w:cs="Times New Roman"/>
                <w:kern w:val="0"/>
                <w:sz w:val="22"/>
                <w:szCs w:val="22"/>
                <w:lang w:eastAsia="en-US"/>
              </w:rPr>
            </w:pPr>
          </w:p>
        </w:tc>
      </w:tr>
      <w:tr w14:paraId="253604EF">
        <w:tblPrEx>
          <w:tblCellMar>
            <w:top w:w="0" w:type="dxa"/>
            <w:left w:w="0" w:type="dxa"/>
            <w:bottom w:w="0" w:type="dxa"/>
            <w:right w:w="0" w:type="dxa"/>
          </w:tblCellMar>
        </w:tblPrEx>
        <w:trPr>
          <w:trHeight w:val="680" w:hRule="exact"/>
        </w:trPr>
        <w:tc>
          <w:tcPr>
            <w:tcW w:w="926" w:type="dxa"/>
            <w:vMerge w:val="continue"/>
            <w:tcBorders>
              <w:left w:val="single" w:color="000000" w:sz="4" w:space="0"/>
              <w:right w:val="single" w:color="000000" w:sz="4" w:space="0"/>
            </w:tcBorders>
            <w:vAlign w:val="center"/>
          </w:tcPr>
          <w:p w14:paraId="14F0C807">
            <w:pPr>
              <w:jc w:val="center"/>
              <w:rPr>
                <w:rFonts w:hint="default" w:ascii="Times New Roman" w:hAnsi="Times New Roman" w:eastAsia="仿宋_GB2312" w:cs="Times New Roman"/>
                <w:kern w:val="0"/>
                <w:sz w:val="22"/>
                <w:szCs w:val="22"/>
                <w:lang w:eastAsia="en-US"/>
              </w:rPr>
            </w:pPr>
          </w:p>
        </w:tc>
        <w:tc>
          <w:tcPr>
            <w:tcW w:w="7120" w:type="dxa"/>
            <w:tcBorders>
              <w:top w:val="single" w:color="000000" w:sz="4" w:space="0"/>
              <w:left w:val="single" w:color="000000" w:sz="4" w:space="0"/>
              <w:bottom w:val="single" w:color="000000" w:sz="4" w:space="0"/>
              <w:right w:val="single" w:color="000000" w:sz="4" w:space="0"/>
            </w:tcBorders>
            <w:vAlign w:val="top"/>
          </w:tcPr>
          <w:p w14:paraId="2459DC1D">
            <w:pPr>
              <w:spacing w:before="6"/>
              <w:jc w:val="left"/>
              <w:rPr>
                <w:rFonts w:hint="default" w:ascii="Times New Roman" w:hAnsi="Times New Roman" w:eastAsia="仿宋_GB2312" w:cs="Times New Roman"/>
                <w:kern w:val="0"/>
                <w:sz w:val="22"/>
                <w:szCs w:val="22"/>
                <w:lang w:eastAsia="zh-CN"/>
              </w:rPr>
            </w:pPr>
          </w:p>
          <w:p w14:paraId="6E80749D">
            <w:pPr>
              <w:ind w:left="103" w:leftChars="0"/>
              <w:jc w:val="left"/>
              <w:rPr>
                <w:rFonts w:hint="default" w:ascii="Times New Roman" w:hAnsi="Times New Roman" w:eastAsia="仿宋_GB2312" w:cs="Times New Roman"/>
                <w:kern w:val="0"/>
                <w:sz w:val="22"/>
                <w:szCs w:val="22"/>
                <w:lang w:eastAsia="zh-CN"/>
              </w:rPr>
            </w:pPr>
            <w:r>
              <w:rPr>
                <w:rFonts w:hint="default" w:ascii="Times New Roman" w:hAnsi="Times New Roman" w:eastAsia="仿宋_GB2312" w:cs="Times New Roman"/>
                <w:kern w:val="0"/>
                <w:sz w:val="22"/>
                <w:szCs w:val="22"/>
                <w:lang w:eastAsia="zh-CN"/>
              </w:rPr>
              <w:t>6.体现人文关怀和爱伤精神</w:t>
            </w:r>
          </w:p>
        </w:tc>
        <w:tc>
          <w:tcPr>
            <w:tcW w:w="600" w:type="dxa"/>
            <w:tcBorders>
              <w:top w:val="single" w:color="000000" w:sz="4" w:space="0"/>
              <w:left w:val="single" w:color="000000" w:sz="4" w:space="0"/>
              <w:bottom w:val="single" w:color="000000" w:sz="4" w:space="0"/>
              <w:right w:val="single" w:color="000000" w:sz="4" w:space="0"/>
            </w:tcBorders>
            <w:vAlign w:val="center"/>
          </w:tcPr>
          <w:p w14:paraId="5C4ACD4F">
            <w:pPr>
              <w:jc w:val="center"/>
              <w:rPr>
                <w:rFonts w:hint="default" w:ascii="Times New Roman" w:hAnsi="Times New Roman" w:eastAsia="仿宋_GB2312" w:cs="Times New Roman"/>
                <w:w w:val="99"/>
                <w:kern w:val="0"/>
                <w:sz w:val="22"/>
                <w:szCs w:val="22"/>
                <w:lang w:eastAsia="en-US"/>
              </w:rPr>
            </w:pPr>
            <w:r>
              <w:rPr>
                <w:rFonts w:hint="default" w:ascii="Times New Roman" w:hAnsi="Times New Roman" w:eastAsia="仿宋_GB2312" w:cs="Times New Roman"/>
                <w:kern w:val="0"/>
                <w:sz w:val="22"/>
                <w:szCs w:val="22"/>
                <w:lang w:eastAsia="en-US"/>
              </w:rPr>
              <w:t>5</w:t>
            </w:r>
          </w:p>
        </w:tc>
        <w:tc>
          <w:tcPr>
            <w:tcW w:w="586" w:type="dxa"/>
            <w:tcBorders>
              <w:top w:val="single" w:color="000000" w:sz="4" w:space="0"/>
              <w:left w:val="single" w:color="000000" w:sz="4" w:space="0"/>
              <w:bottom w:val="single" w:color="000000" w:sz="4" w:space="0"/>
              <w:right w:val="single" w:color="000000" w:sz="4" w:space="0"/>
            </w:tcBorders>
            <w:vAlign w:val="center"/>
          </w:tcPr>
          <w:p w14:paraId="7CEC374D">
            <w:pPr>
              <w:jc w:val="center"/>
              <w:rPr>
                <w:rFonts w:hint="default" w:ascii="Times New Roman" w:hAnsi="Times New Roman" w:eastAsia="仿宋_GB2312" w:cs="Times New Roman"/>
                <w:kern w:val="0"/>
                <w:sz w:val="22"/>
                <w:szCs w:val="22"/>
                <w:lang w:eastAsia="en-US"/>
              </w:rPr>
            </w:pPr>
          </w:p>
        </w:tc>
        <w:tc>
          <w:tcPr>
            <w:tcW w:w="783" w:type="dxa"/>
            <w:tcBorders>
              <w:top w:val="single" w:color="000000" w:sz="4" w:space="0"/>
              <w:left w:val="single" w:color="000000" w:sz="4" w:space="0"/>
              <w:bottom w:val="single" w:color="000000" w:sz="4" w:space="0"/>
              <w:right w:val="single" w:color="000000" w:sz="4" w:space="0"/>
            </w:tcBorders>
            <w:vAlign w:val="center"/>
          </w:tcPr>
          <w:p w14:paraId="1FAD1DF5">
            <w:pPr>
              <w:jc w:val="center"/>
              <w:rPr>
                <w:rFonts w:hint="default" w:ascii="Times New Roman" w:hAnsi="Times New Roman" w:eastAsia="仿宋_GB2312" w:cs="Times New Roman"/>
                <w:kern w:val="0"/>
                <w:sz w:val="22"/>
                <w:szCs w:val="22"/>
                <w:lang w:eastAsia="en-US"/>
              </w:rPr>
            </w:pPr>
          </w:p>
        </w:tc>
      </w:tr>
      <w:tr w14:paraId="4C334861">
        <w:tblPrEx>
          <w:tblCellMar>
            <w:top w:w="0" w:type="dxa"/>
            <w:left w:w="0" w:type="dxa"/>
            <w:bottom w:w="0" w:type="dxa"/>
            <w:right w:w="0" w:type="dxa"/>
          </w:tblCellMar>
        </w:tblPrEx>
        <w:trPr>
          <w:trHeight w:val="680" w:hRule="exact"/>
        </w:trPr>
        <w:tc>
          <w:tcPr>
            <w:tcW w:w="926" w:type="dxa"/>
            <w:vMerge w:val="continue"/>
            <w:tcBorders>
              <w:left w:val="single" w:color="000000" w:sz="4" w:space="0"/>
              <w:bottom w:val="single" w:color="000000" w:sz="4" w:space="0"/>
              <w:right w:val="single" w:color="000000" w:sz="4" w:space="0"/>
            </w:tcBorders>
            <w:vAlign w:val="center"/>
          </w:tcPr>
          <w:p w14:paraId="5E512074">
            <w:pPr>
              <w:jc w:val="center"/>
              <w:rPr>
                <w:rFonts w:hint="default" w:ascii="Times New Roman" w:hAnsi="Times New Roman" w:eastAsia="仿宋_GB2312" w:cs="Times New Roman"/>
                <w:kern w:val="0"/>
                <w:sz w:val="22"/>
                <w:szCs w:val="22"/>
                <w:lang w:eastAsia="en-US"/>
              </w:rPr>
            </w:pPr>
          </w:p>
        </w:tc>
        <w:tc>
          <w:tcPr>
            <w:tcW w:w="7120" w:type="dxa"/>
            <w:tcBorders>
              <w:top w:val="single" w:color="000000" w:sz="4" w:space="0"/>
              <w:left w:val="single" w:color="000000" w:sz="4" w:space="0"/>
              <w:bottom w:val="single" w:color="000000" w:sz="4" w:space="0"/>
              <w:right w:val="single" w:color="000000" w:sz="4" w:space="0"/>
            </w:tcBorders>
            <w:vAlign w:val="top"/>
          </w:tcPr>
          <w:p w14:paraId="42EC5A7E">
            <w:pPr>
              <w:spacing w:line="560" w:lineRule="exact"/>
              <w:ind w:left="312" w:leftChars="0" w:right="103" w:rightChars="0" w:hanging="209" w:firstLineChars="0"/>
              <w:jc w:val="left"/>
              <w:rPr>
                <w:rFonts w:hint="default" w:ascii="Times New Roman" w:hAnsi="Times New Roman" w:eastAsia="仿宋_GB2312" w:cs="Times New Roman"/>
                <w:kern w:val="0"/>
                <w:sz w:val="22"/>
                <w:szCs w:val="22"/>
                <w:lang w:eastAsia="zh-CN"/>
              </w:rPr>
            </w:pPr>
            <w:r>
              <w:rPr>
                <w:rFonts w:hint="default" w:ascii="Times New Roman" w:hAnsi="Times New Roman" w:eastAsia="仿宋_GB2312" w:cs="Times New Roman"/>
                <w:kern w:val="0"/>
                <w:sz w:val="22"/>
                <w:szCs w:val="22"/>
                <w:lang w:eastAsia="zh-CN"/>
              </w:rPr>
              <w:t>7.手术结束后及时、全面地总结反馈</w:t>
            </w:r>
          </w:p>
        </w:tc>
        <w:tc>
          <w:tcPr>
            <w:tcW w:w="600" w:type="dxa"/>
            <w:tcBorders>
              <w:top w:val="single" w:color="000000" w:sz="4" w:space="0"/>
              <w:left w:val="single" w:color="000000" w:sz="4" w:space="0"/>
              <w:bottom w:val="single" w:color="000000" w:sz="4" w:space="0"/>
              <w:right w:val="single" w:color="000000" w:sz="4" w:space="0"/>
            </w:tcBorders>
            <w:vAlign w:val="center"/>
          </w:tcPr>
          <w:p w14:paraId="6149837A">
            <w:pPr>
              <w:ind w:right="1" w:rightChars="0"/>
              <w:jc w:val="center"/>
              <w:rPr>
                <w:rFonts w:hint="default" w:ascii="Times New Roman" w:hAnsi="Times New Roman" w:eastAsia="仿宋_GB2312" w:cs="Times New Roman"/>
                <w:w w:val="99"/>
                <w:kern w:val="0"/>
                <w:sz w:val="22"/>
                <w:szCs w:val="22"/>
                <w:lang w:eastAsia="en-US"/>
              </w:rPr>
            </w:pPr>
            <w:r>
              <w:rPr>
                <w:rFonts w:hint="default" w:ascii="Times New Roman" w:hAnsi="Times New Roman" w:eastAsia="仿宋_GB2312" w:cs="Times New Roman"/>
                <w:kern w:val="0"/>
                <w:sz w:val="22"/>
                <w:szCs w:val="22"/>
                <w:lang w:eastAsia="en-US"/>
              </w:rPr>
              <w:t>10</w:t>
            </w:r>
          </w:p>
        </w:tc>
        <w:tc>
          <w:tcPr>
            <w:tcW w:w="586" w:type="dxa"/>
            <w:tcBorders>
              <w:top w:val="single" w:color="000000" w:sz="4" w:space="0"/>
              <w:left w:val="single" w:color="000000" w:sz="4" w:space="0"/>
              <w:bottom w:val="single" w:color="000000" w:sz="4" w:space="0"/>
              <w:right w:val="single" w:color="000000" w:sz="4" w:space="0"/>
            </w:tcBorders>
            <w:vAlign w:val="center"/>
          </w:tcPr>
          <w:p w14:paraId="453FCD75">
            <w:pPr>
              <w:jc w:val="center"/>
              <w:rPr>
                <w:rFonts w:hint="default" w:ascii="Times New Roman" w:hAnsi="Times New Roman" w:eastAsia="仿宋_GB2312" w:cs="Times New Roman"/>
                <w:kern w:val="0"/>
                <w:sz w:val="22"/>
                <w:szCs w:val="22"/>
                <w:lang w:eastAsia="en-US"/>
              </w:rPr>
            </w:pPr>
          </w:p>
        </w:tc>
        <w:tc>
          <w:tcPr>
            <w:tcW w:w="783" w:type="dxa"/>
            <w:tcBorders>
              <w:top w:val="single" w:color="000000" w:sz="4" w:space="0"/>
              <w:left w:val="single" w:color="000000" w:sz="4" w:space="0"/>
              <w:bottom w:val="single" w:color="000000" w:sz="4" w:space="0"/>
              <w:right w:val="single" w:color="000000" w:sz="4" w:space="0"/>
            </w:tcBorders>
            <w:vAlign w:val="center"/>
          </w:tcPr>
          <w:p w14:paraId="620AD361">
            <w:pPr>
              <w:jc w:val="center"/>
              <w:rPr>
                <w:rFonts w:hint="default" w:ascii="Times New Roman" w:hAnsi="Times New Roman" w:eastAsia="仿宋_GB2312" w:cs="Times New Roman"/>
                <w:kern w:val="0"/>
                <w:sz w:val="22"/>
                <w:szCs w:val="22"/>
                <w:lang w:eastAsia="en-US"/>
              </w:rPr>
            </w:pPr>
          </w:p>
        </w:tc>
      </w:tr>
    </w:tbl>
    <w:p w14:paraId="21249C29">
      <w:pPr>
        <w:spacing w:before="3"/>
        <w:jc w:val="left"/>
        <w:rPr>
          <w:rFonts w:ascii="宋体" w:hAnsi="宋体" w:eastAsia="宋体" w:cs="宋体"/>
          <w:kern w:val="0"/>
          <w:sz w:val="6"/>
          <w:szCs w:val="6"/>
        </w:rPr>
      </w:pPr>
    </w:p>
    <w:p w14:paraId="6B069556">
      <w:pPr>
        <w:jc w:val="left"/>
        <w:rPr>
          <w:rFonts w:hint="default" w:ascii="Times New Roman" w:hAnsi="Times New Roman" w:eastAsia="仿宋_GB2312" w:cs="Times New Roman"/>
          <w:kern w:val="0"/>
          <w:sz w:val="22"/>
          <w:szCs w:val="22"/>
          <w:lang w:eastAsia="en-US"/>
        </w:rPr>
        <w:sectPr>
          <w:footerReference r:id="rId3" w:type="default"/>
          <w:footerReference r:id="rId4" w:type="even"/>
          <w:pgSz w:w="11910" w:h="16840"/>
          <w:pgMar w:top="1440" w:right="1800" w:bottom="1440" w:left="1800" w:header="878" w:footer="1196" w:gutter="0"/>
          <w:cols w:space="720" w:num="1"/>
        </w:sectPr>
      </w:pPr>
    </w:p>
    <w:tbl>
      <w:tblPr>
        <w:tblStyle w:val="13"/>
        <w:tblW w:w="10015" w:type="dxa"/>
        <w:jc w:val="center"/>
        <w:tblLayout w:type="fixed"/>
        <w:tblCellMar>
          <w:top w:w="0" w:type="dxa"/>
          <w:left w:w="0" w:type="dxa"/>
          <w:bottom w:w="0" w:type="dxa"/>
          <w:right w:w="0" w:type="dxa"/>
        </w:tblCellMar>
      </w:tblPr>
      <w:tblGrid>
        <w:gridCol w:w="879"/>
        <w:gridCol w:w="7167"/>
        <w:gridCol w:w="600"/>
        <w:gridCol w:w="586"/>
        <w:gridCol w:w="783"/>
      </w:tblGrid>
      <w:tr w14:paraId="36AE4FAC">
        <w:tblPrEx>
          <w:tblCellMar>
            <w:top w:w="0" w:type="dxa"/>
            <w:left w:w="0" w:type="dxa"/>
            <w:bottom w:w="0" w:type="dxa"/>
            <w:right w:w="0" w:type="dxa"/>
          </w:tblCellMar>
        </w:tblPrEx>
        <w:trPr>
          <w:trHeight w:val="680" w:hRule="exact"/>
          <w:jc w:val="center"/>
        </w:trPr>
        <w:tc>
          <w:tcPr>
            <w:tcW w:w="879" w:type="dxa"/>
            <w:vMerge w:val="restart"/>
            <w:tcBorders>
              <w:top w:val="single" w:color="000000" w:sz="4" w:space="0"/>
              <w:left w:val="single" w:color="000000" w:sz="4" w:space="0"/>
              <w:right w:val="single" w:color="000000" w:sz="4" w:space="0"/>
            </w:tcBorders>
            <w:vAlign w:val="center"/>
          </w:tcPr>
          <w:p w14:paraId="549BB662">
            <w:pPr>
              <w:autoSpaceDE w:val="0"/>
              <w:autoSpaceDN w:val="0"/>
              <w:adjustRightInd w:val="0"/>
              <w:jc w:val="center"/>
              <w:rPr>
                <w:rFonts w:hint="default" w:ascii="Times New Roman" w:hAnsi="Times New Roman" w:eastAsia="仿宋_GB2312" w:cs="Times New Roman"/>
                <w:kern w:val="0"/>
                <w:sz w:val="22"/>
                <w:szCs w:val="22"/>
                <w:lang w:eastAsia="en-US"/>
              </w:rPr>
            </w:pPr>
          </w:p>
          <w:p w14:paraId="58691CF3">
            <w:pPr>
              <w:autoSpaceDE w:val="0"/>
              <w:autoSpaceDN w:val="0"/>
              <w:adjustRightInd w:val="0"/>
              <w:jc w:val="center"/>
              <w:rPr>
                <w:rFonts w:hint="default" w:ascii="Times New Roman" w:hAnsi="Times New Roman" w:eastAsia="仿宋_GB2312" w:cs="Times New Roman"/>
                <w:kern w:val="0"/>
                <w:sz w:val="22"/>
                <w:szCs w:val="22"/>
                <w:lang w:eastAsia="en-US"/>
              </w:rPr>
            </w:pPr>
            <w:r>
              <w:rPr>
                <w:rFonts w:hint="default" w:ascii="Times New Roman" w:hAnsi="Times New Roman" w:eastAsia="仿宋_GB2312" w:cs="Times New Roman"/>
                <w:kern w:val="0"/>
                <w:sz w:val="22"/>
                <w:szCs w:val="22"/>
                <w:lang w:eastAsia="en-US"/>
              </w:rPr>
              <w:t>教学</w:t>
            </w:r>
          </w:p>
          <w:p w14:paraId="241F71D9">
            <w:pPr>
              <w:autoSpaceDE w:val="0"/>
              <w:autoSpaceDN w:val="0"/>
              <w:adjustRightInd w:val="0"/>
              <w:jc w:val="center"/>
              <w:rPr>
                <w:rFonts w:hint="default" w:ascii="Times New Roman" w:hAnsi="Times New Roman" w:eastAsia="仿宋_GB2312" w:cs="Times New Roman"/>
                <w:kern w:val="0"/>
                <w:sz w:val="22"/>
                <w:szCs w:val="22"/>
                <w:lang w:eastAsia="en-US"/>
              </w:rPr>
            </w:pPr>
            <w:r>
              <w:rPr>
                <w:rFonts w:hint="default" w:ascii="Times New Roman" w:hAnsi="Times New Roman" w:eastAsia="仿宋_GB2312" w:cs="Times New Roman"/>
                <w:kern w:val="0"/>
                <w:sz w:val="22"/>
                <w:szCs w:val="22"/>
                <w:lang w:eastAsia="en-US"/>
              </w:rPr>
              <w:t>方法</w:t>
            </w:r>
          </w:p>
          <w:p w14:paraId="0C559F22">
            <w:pPr>
              <w:autoSpaceDE w:val="0"/>
              <w:autoSpaceDN w:val="0"/>
              <w:adjustRightInd w:val="0"/>
              <w:jc w:val="center"/>
              <w:rPr>
                <w:rFonts w:hint="default" w:ascii="Times New Roman" w:hAnsi="Times New Roman" w:eastAsia="仿宋_GB2312" w:cs="Times New Roman"/>
                <w:kern w:val="0"/>
                <w:sz w:val="22"/>
                <w:szCs w:val="22"/>
                <w:lang w:eastAsia="en-US"/>
              </w:rPr>
            </w:pPr>
            <w:r>
              <w:rPr>
                <w:rFonts w:hint="default" w:ascii="Times New Roman" w:hAnsi="Times New Roman" w:eastAsia="仿宋_GB2312" w:cs="Times New Roman"/>
                <w:kern w:val="0"/>
                <w:sz w:val="22"/>
                <w:szCs w:val="22"/>
                <w:lang w:eastAsia="en-US"/>
              </w:rPr>
              <w:t>（40分）</w:t>
            </w:r>
          </w:p>
          <w:p w14:paraId="16DDA21D">
            <w:pPr>
              <w:spacing w:before="70" w:line="487" w:lineRule="auto"/>
              <w:ind w:left="185" w:right="183"/>
              <w:jc w:val="center"/>
              <w:rPr>
                <w:rFonts w:hint="default" w:ascii="Times New Roman" w:hAnsi="Times New Roman" w:eastAsia="仿宋_GB2312" w:cs="Times New Roman"/>
                <w:kern w:val="0"/>
                <w:sz w:val="22"/>
                <w:szCs w:val="22"/>
                <w:lang w:eastAsia="en-US"/>
              </w:rPr>
            </w:pPr>
          </w:p>
        </w:tc>
        <w:tc>
          <w:tcPr>
            <w:tcW w:w="7167" w:type="dxa"/>
            <w:tcBorders>
              <w:top w:val="single" w:color="000000" w:sz="4" w:space="0"/>
              <w:left w:val="single" w:color="000000" w:sz="4" w:space="0"/>
              <w:bottom w:val="single" w:color="000000" w:sz="4" w:space="0"/>
              <w:right w:val="single" w:color="000000" w:sz="4" w:space="0"/>
            </w:tcBorders>
            <w:vAlign w:val="center"/>
          </w:tcPr>
          <w:p w14:paraId="39424D00">
            <w:pPr>
              <w:spacing w:line="560" w:lineRule="exact"/>
              <w:ind w:left="312" w:right="103" w:hanging="209"/>
              <w:jc w:val="both"/>
              <w:rPr>
                <w:rFonts w:hint="default" w:ascii="Times New Roman" w:hAnsi="Times New Roman" w:eastAsia="仿宋_GB2312" w:cs="Times New Roman"/>
                <w:kern w:val="0"/>
                <w:sz w:val="22"/>
                <w:szCs w:val="22"/>
                <w:lang w:eastAsia="zh-CN"/>
              </w:rPr>
            </w:pPr>
            <w:r>
              <w:rPr>
                <w:rFonts w:hint="default" w:ascii="Times New Roman" w:hAnsi="Times New Roman" w:eastAsia="仿宋_GB2312" w:cs="Times New Roman"/>
                <w:kern w:val="0"/>
                <w:sz w:val="22"/>
                <w:szCs w:val="22"/>
                <w:lang w:eastAsia="zh-CN"/>
              </w:rPr>
              <w:t>1.根据教学模式，给住院医师充分参与操作的机会</w:t>
            </w:r>
          </w:p>
        </w:tc>
        <w:tc>
          <w:tcPr>
            <w:tcW w:w="600" w:type="dxa"/>
            <w:tcBorders>
              <w:top w:val="single" w:color="000000" w:sz="4" w:space="0"/>
              <w:left w:val="single" w:color="000000" w:sz="4" w:space="0"/>
              <w:bottom w:val="single" w:color="000000" w:sz="4" w:space="0"/>
              <w:right w:val="single" w:color="000000" w:sz="4" w:space="0"/>
            </w:tcBorders>
            <w:vAlign w:val="center"/>
          </w:tcPr>
          <w:p w14:paraId="518DFCA5">
            <w:pPr>
              <w:ind w:right="1"/>
              <w:jc w:val="center"/>
              <w:rPr>
                <w:rFonts w:hint="default" w:ascii="Times New Roman" w:hAnsi="Times New Roman" w:eastAsia="仿宋_GB2312" w:cs="Times New Roman"/>
                <w:kern w:val="0"/>
                <w:sz w:val="22"/>
                <w:szCs w:val="22"/>
                <w:lang w:eastAsia="en-US"/>
              </w:rPr>
            </w:pPr>
            <w:r>
              <w:rPr>
                <w:rFonts w:hint="default" w:ascii="Times New Roman" w:hAnsi="Times New Roman" w:eastAsia="仿宋_GB2312" w:cs="Times New Roman"/>
                <w:w w:val="99"/>
                <w:kern w:val="0"/>
                <w:sz w:val="22"/>
                <w:szCs w:val="22"/>
                <w:lang w:eastAsia="en-US"/>
              </w:rPr>
              <w:t>10</w:t>
            </w:r>
          </w:p>
        </w:tc>
        <w:tc>
          <w:tcPr>
            <w:tcW w:w="586" w:type="dxa"/>
            <w:tcBorders>
              <w:top w:val="single" w:color="000000" w:sz="4" w:space="0"/>
              <w:left w:val="single" w:color="000000" w:sz="4" w:space="0"/>
              <w:bottom w:val="single" w:color="000000" w:sz="4" w:space="0"/>
              <w:right w:val="single" w:color="000000" w:sz="4" w:space="0"/>
            </w:tcBorders>
            <w:vAlign w:val="center"/>
          </w:tcPr>
          <w:p w14:paraId="2A9C3B5F">
            <w:pPr>
              <w:jc w:val="both"/>
              <w:rPr>
                <w:rFonts w:hint="default" w:ascii="Times New Roman" w:hAnsi="Times New Roman" w:eastAsia="仿宋_GB2312" w:cs="Times New Roman"/>
                <w:kern w:val="0"/>
                <w:sz w:val="22"/>
                <w:szCs w:val="22"/>
                <w:lang w:eastAsia="en-US"/>
              </w:rPr>
            </w:pPr>
          </w:p>
        </w:tc>
        <w:tc>
          <w:tcPr>
            <w:tcW w:w="783" w:type="dxa"/>
            <w:tcBorders>
              <w:top w:val="single" w:color="000000" w:sz="4" w:space="0"/>
              <w:left w:val="single" w:color="000000" w:sz="4" w:space="0"/>
              <w:bottom w:val="single" w:color="000000" w:sz="4" w:space="0"/>
              <w:right w:val="single" w:color="000000" w:sz="4" w:space="0"/>
            </w:tcBorders>
            <w:vAlign w:val="center"/>
          </w:tcPr>
          <w:p w14:paraId="5734D919">
            <w:pPr>
              <w:jc w:val="both"/>
              <w:rPr>
                <w:rFonts w:hint="default" w:ascii="Times New Roman" w:hAnsi="Times New Roman" w:eastAsia="仿宋_GB2312" w:cs="Times New Roman"/>
                <w:kern w:val="0"/>
                <w:sz w:val="22"/>
                <w:szCs w:val="22"/>
                <w:lang w:eastAsia="en-US"/>
              </w:rPr>
            </w:pPr>
          </w:p>
        </w:tc>
      </w:tr>
      <w:tr w14:paraId="0CD16131">
        <w:tblPrEx>
          <w:tblCellMar>
            <w:top w:w="0" w:type="dxa"/>
            <w:left w:w="0" w:type="dxa"/>
            <w:bottom w:w="0" w:type="dxa"/>
            <w:right w:w="0" w:type="dxa"/>
          </w:tblCellMar>
        </w:tblPrEx>
        <w:trPr>
          <w:trHeight w:val="680" w:hRule="exact"/>
          <w:jc w:val="center"/>
        </w:trPr>
        <w:tc>
          <w:tcPr>
            <w:tcW w:w="879" w:type="dxa"/>
            <w:vMerge w:val="continue"/>
            <w:tcBorders>
              <w:left w:val="single" w:color="000000" w:sz="4" w:space="0"/>
              <w:right w:val="single" w:color="000000" w:sz="4" w:space="0"/>
            </w:tcBorders>
            <w:vAlign w:val="center"/>
          </w:tcPr>
          <w:p w14:paraId="47D344F9">
            <w:pPr>
              <w:jc w:val="center"/>
              <w:rPr>
                <w:rFonts w:hint="default" w:ascii="Times New Roman" w:hAnsi="Times New Roman" w:eastAsia="仿宋_GB2312" w:cs="Times New Roman"/>
                <w:kern w:val="0"/>
                <w:sz w:val="22"/>
                <w:szCs w:val="22"/>
                <w:lang w:eastAsia="en-US"/>
              </w:rPr>
            </w:pPr>
          </w:p>
        </w:tc>
        <w:tc>
          <w:tcPr>
            <w:tcW w:w="7167" w:type="dxa"/>
            <w:tcBorders>
              <w:top w:val="single" w:color="000000" w:sz="4" w:space="0"/>
              <w:left w:val="single" w:color="000000" w:sz="4" w:space="0"/>
              <w:bottom w:val="single" w:color="000000" w:sz="4" w:space="0"/>
              <w:right w:val="single" w:color="000000" w:sz="4" w:space="0"/>
            </w:tcBorders>
            <w:vAlign w:val="center"/>
          </w:tcPr>
          <w:p w14:paraId="3C5BAA44">
            <w:pPr>
              <w:spacing w:line="560" w:lineRule="exact"/>
              <w:ind w:left="312" w:right="101" w:hanging="209"/>
              <w:jc w:val="both"/>
              <w:rPr>
                <w:rFonts w:hint="default" w:ascii="Times New Roman" w:hAnsi="Times New Roman" w:eastAsia="仿宋_GB2312" w:cs="Times New Roman"/>
                <w:kern w:val="0"/>
                <w:sz w:val="22"/>
                <w:szCs w:val="22"/>
                <w:lang w:eastAsia="zh-CN"/>
              </w:rPr>
            </w:pPr>
            <w:r>
              <w:rPr>
                <w:rFonts w:hint="default" w:ascii="Times New Roman" w:hAnsi="Times New Roman" w:eastAsia="仿宋_GB2312" w:cs="Times New Roman"/>
                <w:spacing w:val="3"/>
                <w:kern w:val="0"/>
                <w:sz w:val="22"/>
                <w:szCs w:val="22"/>
                <w:lang w:eastAsia="zh-CN"/>
              </w:rPr>
              <w:t>2.</w:t>
            </w:r>
            <w:r>
              <w:rPr>
                <w:rFonts w:hint="default" w:ascii="Times New Roman" w:hAnsi="Times New Roman" w:eastAsia="仿宋_GB2312" w:cs="Times New Roman"/>
                <w:kern w:val="0"/>
                <w:sz w:val="22"/>
                <w:szCs w:val="22"/>
                <w:lang w:eastAsia="zh-CN"/>
              </w:rPr>
              <w:t>能够从住院医师操作的实际问题出发进行合理教学</w:t>
            </w:r>
          </w:p>
        </w:tc>
        <w:tc>
          <w:tcPr>
            <w:tcW w:w="600" w:type="dxa"/>
            <w:tcBorders>
              <w:top w:val="single" w:color="000000" w:sz="4" w:space="0"/>
              <w:left w:val="single" w:color="000000" w:sz="4" w:space="0"/>
              <w:bottom w:val="single" w:color="000000" w:sz="4" w:space="0"/>
              <w:right w:val="single" w:color="000000" w:sz="4" w:space="0"/>
            </w:tcBorders>
            <w:vAlign w:val="center"/>
          </w:tcPr>
          <w:p w14:paraId="2FD3E885">
            <w:pPr>
              <w:ind w:right="1"/>
              <w:jc w:val="center"/>
              <w:rPr>
                <w:rFonts w:hint="default" w:ascii="Times New Roman" w:hAnsi="Times New Roman" w:eastAsia="仿宋_GB2312" w:cs="Times New Roman"/>
                <w:kern w:val="0"/>
                <w:sz w:val="22"/>
                <w:szCs w:val="22"/>
                <w:lang w:eastAsia="en-US"/>
              </w:rPr>
            </w:pPr>
            <w:r>
              <w:rPr>
                <w:rFonts w:hint="default" w:ascii="Times New Roman" w:hAnsi="Times New Roman" w:eastAsia="仿宋_GB2312" w:cs="Times New Roman"/>
                <w:w w:val="99"/>
                <w:kern w:val="0"/>
                <w:sz w:val="22"/>
                <w:szCs w:val="22"/>
                <w:lang w:eastAsia="en-US"/>
              </w:rPr>
              <w:t>10</w:t>
            </w:r>
          </w:p>
        </w:tc>
        <w:tc>
          <w:tcPr>
            <w:tcW w:w="586" w:type="dxa"/>
            <w:tcBorders>
              <w:top w:val="single" w:color="000000" w:sz="4" w:space="0"/>
              <w:left w:val="single" w:color="000000" w:sz="4" w:space="0"/>
              <w:bottom w:val="single" w:color="000000" w:sz="4" w:space="0"/>
              <w:right w:val="single" w:color="000000" w:sz="4" w:space="0"/>
            </w:tcBorders>
            <w:vAlign w:val="center"/>
          </w:tcPr>
          <w:p w14:paraId="65B3AAEF">
            <w:pPr>
              <w:jc w:val="both"/>
              <w:rPr>
                <w:rFonts w:hint="default" w:ascii="Times New Roman" w:hAnsi="Times New Roman" w:eastAsia="仿宋_GB2312" w:cs="Times New Roman"/>
                <w:kern w:val="0"/>
                <w:sz w:val="22"/>
                <w:szCs w:val="22"/>
                <w:lang w:eastAsia="en-US"/>
              </w:rPr>
            </w:pPr>
          </w:p>
        </w:tc>
        <w:tc>
          <w:tcPr>
            <w:tcW w:w="783" w:type="dxa"/>
            <w:tcBorders>
              <w:top w:val="single" w:color="000000" w:sz="4" w:space="0"/>
              <w:left w:val="single" w:color="000000" w:sz="4" w:space="0"/>
              <w:bottom w:val="single" w:color="000000" w:sz="4" w:space="0"/>
              <w:right w:val="single" w:color="000000" w:sz="4" w:space="0"/>
            </w:tcBorders>
            <w:vAlign w:val="center"/>
          </w:tcPr>
          <w:p w14:paraId="4531E7D0">
            <w:pPr>
              <w:jc w:val="both"/>
              <w:rPr>
                <w:rFonts w:hint="default" w:ascii="Times New Roman" w:hAnsi="Times New Roman" w:eastAsia="仿宋_GB2312" w:cs="Times New Roman"/>
                <w:kern w:val="0"/>
                <w:sz w:val="22"/>
                <w:szCs w:val="22"/>
                <w:lang w:eastAsia="en-US"/>
              </w:rPr>
            </w:pPr>
          </w:p>
        </w:tc>
      </w:tr>
      <w:tr w14:paraId="2BF0370A">
        <w:tblPrEx>
          <w:tblCellMar>
            <w:top w:w="0" w:type="dxa"/>
            <w:left w:w="0" w:type="dxa"/>
            <w:bottom w:w="0" w:type="dxa"/>
            <w:right w:w="0" w:type="dxa"/>
          </w:tblCellMar>
        </w:tblPrEx>
        <w:trPr>
          <w:trHeight w:val="680" w:hRule="exact"/>
          <w:jc w:val="center"/>
        </w:trPr>
        <w:tc>
          <w:tcPr>
            <w:tcW w:w="879" w:type="dxa"/>
            <w:vMerge w:val="continue"/>
            <w:tcBorders>
              <w:left w:val="single" w:color="000000" w:sz="4" w:space="0"/>
              <w:right w:val="single" w:color="000000" w:sz="4" w:space="0"/>
            </w:tcBorders>
            <w:vAlign w:val="center"/>
          </w:tcPr>
          <w:p w14:paraId="5D5C62F7">
            <w:pPr>
              <w:jc w:val="center"/>
              <w:rPr>
                <w:rFonts w:hint="default" w:ascii="Times New Roman" w:hAnsi="Times New Roman" w:eastAsia="仿宋_GB2312" w:cs="Times New Roman"/>
                <w:kern w:val="0"/>
                <w:sz w:val="22"/>
                <w:szCs w:val="22"/>
                <w:lang w:eastAsia="en-US"/>
              </w:rPr>
            </w:pPr>
          </w:p>
        </w:tc>
        <w:tc>
          <w:tcPr>
            <w:tcW w:w="7167" w:type="dxa"/>
            <w:tcBorders>
              <w:top w:val="single" w:color="000000" w:sz="4" w:space="0"/>
              <w:left w:val="single" w:color="000000" w:sz="4" w:space="0"/>
              <w:bottom w:val="single" w:color="000000" w:sz="4" w:space="0"/>
              <w:right w:val="single" w:color="000000" w:sz="4" w:space="0"/>
            </w:tcBorders>
            <w:vAlign w:val="center"/>
          </w:tcPr>
          <w:p w14:paraId="63AF8C99">
            <w:pPr>
              <w:spacing w:before="1" w:line="560" w:lineRule="exact"/>
              <w:ind w:left="312" w:right="103" w:hanging="209"/>
              <w:jc w:val="both"/>
              <w:rPr>
                <w:rFonts w:hint="default" w:ascii="Times New Roman" w:hAnsi="Times New Roman" w:eastAsia="仿宋_GB2312" w:cs="Times New Roman"/>
                <w:kern w:val="0"/>
                <w:sz w:val="22"/>
                <w:szCs w:val="22"/>
                <w:lang w:eastAsia="zh-CN"/>
              </w:rPr>
            </w:pPr>
            <w:r>
              <w:rPr>
                <w:rFonts w:hint="default" w:ascii="Times New Roman" w:hAnsi="Times New Roman" w:eastAsia="仿宋_GB2312" w:cs="Times New Roman"/>
                <w:kern w:val="0"/>
                <w:sz w:val="22"/>
                <w:szCs w:val="22"/>
                <w:lang w:eastAsia="zh-CN"/>
              </w:rPr>
              <w:t>3.合理应用示范、纠错等方法</w:t>
            </w:r>
          </w:p>
        </w:tc>
        <w:tc>
          <w:tcPr>
            <w:tcW w:w="600" w:type="dxa"/>
            <w:tcBorders>
              <w:top w:val="single" w:color="000000" w:sz="4" w:space="0"/>
              <w:left w:val="single" w:color="000000" w:sz="4" w:space="0"/>
              <w:bottom w:val="single" w:color="000000" w:sz="4" w:space="0"/>
              <w:right w:val="single" w:color="000000" w:sz="4" w:space="0"/>
            </w:tcBorders>
            <w:vAlign w:val="center"/>
          </w:tcPr>
          <w:p w14:paraId="247AE62A">
            <w:pPr>
              <w:ind w:right="1"/>
              <w:jc w:val="center"/>
              <w:rPr>
                <w:rFonts w:hint="default" w:ascii="Times New Roman" w:hAnsi="Times New Roman" w:eastAsia="仿宋_GB2312" w:cs="Times New Roman"/>
                <w:kern w:val="0"/>
                <w:sz w:val="22"/>
                <w:szCs w:val="22"/>
                <w:lang w:eastAsia="en-US"/>
              </w:rPr>
            </w:pPr>
            <w:r>
              <w:rPr>
                <w:rFonts w:hint="default" w:ascii="Times New Roman" w:hAnsi="Times New Roman" w:eastAsia="仿宋_GB2312" w:cs="Times New Roman"/>
                <w:w w:val="99"/>
                <w:kern w:val="0"/>
                <w:sz w:val="22"/>
                <w:szCs w:val="22"/>
                <w:lang w:eastAsia="en-US"/>
              </w:rPr>
              <w:t>10</w:t>
            </w:r>
          </w:p>
        </w:tc>
        <w:tc>
          <w:tcPr>
            <w:tcW w:w="586" w:type="dxa"/>
            <w:tcBorders>
              <w:top w:val="single" w:color="000000" w:sz="4" w:space="0"/>
              <w:left w:val="single" w:color="000000" w:sz="4" w:space="0"/>
              <w:bottom w:val="single" w:color="000000" w:sz="4" w:space="0"/>
              <w:right w:val="single" w:color="000000" w:sz="4" w:space="0"/>
            </w:tcBorders>
            <w:vAlign w:val="center"/>
          </w:tcPr>
          <w:p w14:paraId="41B43765">
            <w:pPr>
              <w:jc w:val="both"/>
              <w:rPr>
                <w:rFonts w:hint="default" w:ascii="Times New Roman" w:hAnsi="Times New Roman" w:eastAsia="仿宋_GB2312" w:cs="Times New Roman"/>
                <w:kern w:val="0"/>
                <w:sz w:val="22"/>
                <w:szCs w:val="22"/>
                <w:lang w:eastAsia="en-US"/>
              </w:rPr>
            </w:pPr>
          </w:p>
        </w:tc>
        <w:tc>
          <w:tcPr>
            <w:tcW w:w="783" w:type="dxa"/>
            <w:tcBorders>
              <w:top w:val="single" w:color="000000" w:sz="4" w:space="0"/>
              <w:left w:val="single" w:color="000000" w:sz="4" w:space="0"/>
              <w:bottom w:val="single" w:color="000000" w:sz="4" w:space="0"/>
              <w:right w:val="single" w:color="000000" w:sz="4" w:space="0"/>
            </w:tcBorders>
            <w:vAlign w:val="center"/>
          </w:tcPr>
          <w:p w14:paraId="6F18F8F9">
            <w:pPr>
              <w:jc w:val="both"/>
              <w:rPr>
                <w:rFonts w:hint="default" w:ascii="Times New Roman" w:hAnsi="Times New Roman" w:eastAsia="仿宋_GB2312" w:cs="Times New Roman"/>
                <w:kern w:val="0"/>
                <w:sz w:val="22"/>
                <w:szCs w:val="22"/>
                <w:lang w:eastAsia="en-US"/>
              </w:rPr>
            </w:pPr>
          </w:p>
        </w:tc>
      </w:tr>
      <w:tr w14:paraId="48BA60EC">
        <w:tblPrEx>
          <w:tblCellMar>
            <w:top w:w="0" w:type="dxa"/>
            <w:left w:w="0" w:type="dxa"/>
            <w:bottom w:w="0" w:type="dxa"/>
            <w:right w:w="0" w:type="dxa"/>
          </w:tblCellMar>
        </w:tblPrEx>
        <w:trPr>
          <w:trHeight w:val="680" w:hRule="exact"/>
          <w:jc w:val="center"/>
        </w:trPr>
        <w:tc>
          <w:tcPr>
            <w:tcW w:w="879" w:type="dxa"/>
            <w:vMerge w:val="continue"/>
            <w:tcBorders>
              <w:left w:val="single" w:color="000000" w:sz="4" w:space="0"/>
              <w:bottom w:val="single" w:color="000000" w:sz="4" w:space="0"/>
              <w:right w:val="single" w:color="000000" w:sz="4" w:space="0"/>
            </w:tcBorders>
            <w:vAlign w:val="center"/>
          </w:tcPr>
          <w:p w14:paraId="2F78F0C9">
            <w:pPr>
              <w:jc w:val="center"/>
              <w:rPr>
                <w:rFonts w:hint="default" w:ascii="Times New Roman" w:hAnsi="Times New Roman" w:eastAsia="仿宋_GB2312" w:cs="Times New Roman"/>
                <w:kern w:val="0"/>
                <w:sz w:val="22"/>
                <w:szCs w:val="22"/>
                <w:lang w:eastAsia="en-US"/>
              </w:rPr>
            </w:pPr>
          </w:p>
        </w:tc>
        <w:tc>
          <w:tcPr>
            <w:tcW w:w="7167" w:type="dxa"/>
            <w:tcBorders>
              <w:top w:val="single" w:color="000000" w:sz="4" w:space="0"/>
              <w:left w:val="single" w:color="000000" w:sz="4" w:space="0"/>
              <w:bottom w:val="single" w:color="000000" w:sz="4" w:space="0"/>
              <w:right w:val="single" w:color="000000" w:sz="4" w:space="0"/>
            </w:tcBorders>
            <w:vAlign w:val="center"/>
          </w:tcPr>
          <w:p w14:paraId="1207E68F">
            <w:pPr>
              <w:spacing w:before="1" w:line="560" w:lineRule="exact"/>
              <w:ind w:left="312" w:right="101" w:hanging="209"/>
              <w:jc w:val="both"/>
              <w:rPr>
                <w:rFonts w:hint="default" w:ascii="Times New Roman" w:hAnsi="Times New Roman" w:eastAsia="仿宋_GB2312" w:cs="Times New Roman"/>
                <w:kern w:val="0"/>
                <w:sz w:val="22"/>
                <w:szCs w:val="22"/>
                <w:lang w:eastAsia="zh-CN"/>
              </w:rPr>
            </w:pPr>
            <w:r>
              <w:rPr>
                <w:rFonts w:hint="default" w:ascii="Times New Roman" w:hAnsi="Times New Roman" w:eastAsia="仿宋_GB2312" w:cs="Times New Roman"/>
                <w:spacing w:val="3"/>
                <w:kern w:val="0"/>
                <w:sz w:val="22"/>
                <w:szCs w:val="22"/>
                <w:lang w:eastAsia="zh-CN"/>
              </w:rPr>
              <w:t>4.</w:t>
            </w:r>
            <w:r>
              <w:rPr>
                <w:rFonts w:hint="default" w:ascii="Times New Roman" w:hAnsi="Times New Roman" w:eastAsia="仿宋_GB2312" w:cs="Times New Roman"/>
                <w:kern w:val="0"/>
                <w:sz w:val="22"/>
                <w:szCs w:val="22"/>
                <w:lang w:eastAsia="zh-CN"/>
              </w:rPr>
              <w:t>适当应用提问，引导住院医师思考和加深理解</w:t>
            </w:r>
          </w:p>
        </w:tc>
        <w:tc>
          <w:tcPr>
            <w:tcW w:w="600" w:type="dxa"/>
            <w:tcBorders>
              <w:top w:val="single" w:color="000000" w:sz="4" w:space="0"/>
              <w:left w:val="single" w:color="000000" w:sz="4" w:space="0"/>
              <w:bottom w:val="single" w:color="000000" w:sz="4" w:space="0"/>
              <w:right w:val="single" w:color="000000" w:sz="4" w:space="0"/>
            </w:tcBorders>
            <w:vAlign w:val="center"/>
          </w:tcPr>
          <w:p w14:paraId="49BDC73D">
            <w:pPr>
              <w:ind w:right="1"/>
              <w:jc w:val="center"/>
              <w:rPr>
                <w:rFonts w:hint="default" w:ascii="Times New Roman" w:hAnsi="Times New Roman" w:eastAsia="仿宋_GB2312" w:cs="Times New Roman"/>
                <w:kern w:val="0"/>
                <w:sz w:val="22"/>
                <w:szCs w:val="22"/>
                <w:lang w:eastAsia="en-US"/>
              </w:rPr>
            </w:pPr>
            <w:r>
              <w:rPr>
                <w:rFonts w:hint="default" w:ascii="Times New Roman" w:hAnsi="Times New Roman" w:eastAsia="仿宋_GB2312" w:cs="Times New Roman"/>
                <w:w w:val="99"/>
                <w:kern w:val="0"/>
                <w:sz w:val="22"/>
                <w:szCs w:val="22"/>
                <w:lang w:eastAsia="en-US"/>
              </w:rPr>
              <w:t>10</w:t>
            </w:r>
          </w:p>
        </w:tc>
        <w:tc>
          <w:tcPr>
            <w:tcW w:w="586" w:type="dxa"/>
            <w:tcBorders>
              <w:top w:val="single" w:color="000000" w:sz="4" w:space="0"/>
              <w:left w:val="single" w:color="000000" w:sz="4" w:space="0"/>
              <w:bottom w:val="single" w:color="000000" w:sz="4" w:space="0"/>
              <w:right w:val="single" w:color="000000" w:sz="4" w:space="0"/>
            </w:tcBorders>
            <w:vAlign w:val="center"/>
          </w:tcPr>
          <w:p w14:paraId="2ACF69A7">
            <w:pPr>
              <w:jc w:val="both"/>
              <w:rPr>
                <w:rFonts w:hint="default" w:ascii="Times New Roman" w:hAnsi="Times New Roman" w:eastAsia="仿宋_GB2312" w:cs="Times New Roman"/>
                <w:kern w:val="0"/>
                <w:sz w:val="22"/>
                <w:szCs w:val="22"/>
                <w:lang w:eastAsia="en-US"/>
              </w:rPr>
            </w:pPr>
          </w:p>
        </w:tc>
        <w:tc>
          <w:tcPr>
            <w:tcW w:w="783" w:type="dxa"/>
            <w:tcBorders>
              <w:top w:val="single" w:color="000000" w:sz="4" w:space="0"/>
              <w:left w:val="single" w:color="000000" w:sz="4" w:space="0"/>
              <w:bottom w:val="single" w:color="000000" w:sz="4" w:space="0"/>
              <w:right w:val="single" w:color="000000" w:sz="4" w:space="0"/>
            </w:tcBorders>
            <w:vAlign w:val="center"/>
          </w:tcPr>
          <w:p w14:paraId="64898882">
            <w:pPr>
              <w:jc w:val="both"/>
              <w:rPr>
                <w:rFonts w:hint="default" w:ascii="Times New Roman" w:hAnsi="Times New Roman" w:eastAsia="仿宋_GB2312" w:cs="Times New Roman"/>
                <w:kern w:val="0"/>
                <w:sz w:val="22"/>
                <w:szCs w:val="22"/>
                <w:lang w:eastAsia="en-US"/>
              </w:rPr>
            </w:pPr>
          </w:p>
        </w:tc>
      </w:tr>
      <w:tr w14:paraId="61F4C954">
        <w:tblPrEx>
          <w:tblCellMar>
            <w:top w:w="0" w:type="dxa"/>
            <w:left w:w="0" w:type="dxa"/>
            <w:bottom w:w="0" w:type="dxa"/>
            <w:right w:w="0" w:type="dxa"/>
          </w:tblCellMar>
        </w:tblPrEx>
        <w:trPr>
          <w:trHeight w:val="907" w:hRule="exact"/>
          <w:jc w:val="center"/>
        </w:trPr>
        <w:tc>
          <w:tcPr>
            <w:tcW w:w="879" w:type="dxa"/>
            <w:vMerge w:val="restart"/>
            <w:tcBorders>
              <w:top w:val="single" w:color="000000" w:sz="4" w:space="0"/>
              <w:left w:val="single" w:color="000000" w:sz="4" w:space="0"/>
              <w:right w:val="single" w:color="000000" w:sz="4" w:space="0"/>
            </w:tcBorders>
            <w:vAlign w:val="center"/>
          </w:tcPr>
          <w:p w14:paraId="66D8370C">
            <w:pPr>
              <w:spacing w:before="3"/>
              <w:jc w:val="center"/>
              <w:rPr>
                <w:rFonts w:hint="default" w:ascii="Times New Roman" w:hAnsi="Times New Roman" w:eastAsia="仿宋_GB2312" w:cs="Times New Roman"/>
                <w:kern w:val="0"/>
                <w:sz w:val="22"/>
                <w:szCs w:val="22"/>
                <w:lang w:eastAsia="en-US"/>
              </w:rPr>
            </w:pPr>
          </w:p>
          <w:p w14:paraId="7D305331">
            <w:pPr>
              <w:autoSpaceDE w:val="0"/>
              <w:autoSpaceDN w:val="0"/>
              <w:adjustRightInd w:val="0"/>
              <w:jc w:val="center"/>
              <w:rPr>
                <w:rFonts w:hint="default" w:ascii="Times New Roman" w:hAnsi="Times New Roman" w:eastAsia="仿宋_GB2312" w:cs="Times New Roman"/>
                <w:kern w:val="0"/>
                <w:sz w:val="22"/>
                <w:szCs w:val="22"/>
                <w:lang w:eastAsia="en-US"/>
              </w:rPr>
            </w:pPr>
            <w:r>
              <w:rPr>
                <w:rFonts w:hint="default" w:ascii="Times New Roman" w:hAnsi="Times New Roman" w:eastAsia="仿宋_GB2312" w:cs="Times New Roman"/>
                <w:kern w:val="0"/>
                <w:sz w:val="22"/>
                <w:szCs w:val="22"/>
                <w:lang w:eastAsia="en-US"/>
              </w:rPr>
              <w:t>指导</w:t>
            </w:r>
          </w:p>
          <w:p w14:paraId="27794B91">
            <w:pPr>
              <w:autoSpaceDE w:val="0"/>
              <w:autoSpaceDN w:val="0"/>
              <w:adjustRightInd w:val="0"/>
              <w:jc w:val="center"/>
              <w:rPr>
                <w:rFonts w:hint="default" w:ascii="Times New Roman" w:hAnsi="Times New Roman" w:eastAsia="仿宋_GB2312" w:cs="Times New Roman"/>
                <w:kern w:val="0"/>
                <w:sz w:val="22"/>
                <w:szCs w:val="22"/>
                <w:lang w:eastAsia="en-US"/>
              </w:rPr>
            </w:pPr>
            <w:r>
              <w:rPr>
                <w:rFonts w:hint="default" w:ascii="Times New Roman" w:hAnsi="Times New Roman" w:eastAsia="仿宋_GB2312" w:cs="Times New Roman"/>
                <w:kern w:val="0"/>
                <w:sz w:val="22"/>
                <w:szCs w:val="22"/>
                <w:lang w:eastAsia="en-US"/>
              </w:rPr>
              <w:t>医师</w:t>
            </w:r>
          </w:p>
          <w:p w14:paraId="0430FB51">
            <w:pPr>
              <w:autoSpaceDE w:val="0"/>
              <w:autoSpaceDN w:val="0"/>
              <w:adjustRightInd w:val="0"/>
              <w:jc w:val="center"/>
              <w:rPr>
                <w:rFonts w:hint="default" w:ascii="Times New Roman" w:hAnsi="Times New Roman" w:eastAsia="仿宋_GB2312" w:cs="Times New Roman"/>
                <w:kern w:val="0"/>
                <w:sz w:val="22"/>
                <w:szCs w:val="22"/>
                <w:lang w:eastAsia="en-US"/>
              </w:rPr>
            </w:pPr>
            <w:r>
              <w:rPr>
                <w:rFonts w:hint="default" w:ascii="Times New Roman" w:hAnsi="Times New Roman" w:eastAsia="仿宋_GB2312" w:cs="Times New Roman"/>
                <w:kern w:val="0"/>
                <w:sz w:val="22"/>
                <w:szCs w:val="22"/>
                <w:lang w:eastAsia="en-US"/>
              </w:rPr>
              <w:t>状态</w:t>
            </w:r>
          </w:p>
          <w:p w14:paraId="21BE2F7F">
            <w:pPr>
              <w:autoSpaceDE w:val="0"/>
              <w:autoSpaceDN w:val="0"/>
              <w:adjustRightInd w:val="0"/>
              <w:jc w:val="center"/>
              <w:rPr>
                <w:rFonts w:hint="default" w:ascii="Times New Roman" w:hAnsi="Times New Roman" w:eastAsia="仿宋_GB2312" w:cs="Times New Roman"/>
                <w:kern w:val="0"/>
                <w:sz w:val="22"/>
                <w:szCs w:val="22"/>
                <w:lang w:eastAsia="en-US"/>
              </w:rPr>
            </w:pPr>
            <w:r>
              <w:rPr>
                <w:rFonts w:hint="default" w:ascii="Times New Roman" w:hAnsi="Times New Roman" w:eastAsia="仿宋_GB2312" w:cs="Times New Roman"/>
                <w:kern w:val="0"/>
                <w:sz w:val="22"/>
                <w:szCs w:val="22"/>
                <w:lang w:eastAsia="en-US"/>
              </w:rPr>
              <w:t>（10分）</w:t>
            </w:r>
          </w:p>
          <w:p w14:paraId="2C8AC856">
            <w:pPr>
              <w:spacing w:before="66" w:line="487" w:lineRule="auto"/>
              <w:ind w:left="185" w:right="183"/>
              <w:jc w:val="center"/>
              <w:rPr>
                <w:rFonts w:hint="default" w:ascii="Times New Roman" w:hAnsi="Times New Roman" w:eastAsia="仿宋_GB2312" w:cs="Times New Roman"/>
                <w:kern w:val="0"/>
                <w:sz w:val="22"/>
                <w:szCs w:val="22"/>
                <w:lang w:eastAsia="en-US"/>
              </w:rPr>
            </w:pPr>
          </w:p>
        </w:tc>
        <w:tc>
          <w:tcPr>
            <w:tcW w:w="7167" w:type="dxa"/>
            <w:tcBorders>
              <w:top w:val="single" w:color="000000" w:sz="4" w:space="0"/>
              <w:left w:val="single" w:color="000000" w:sz="4" w:space="0"/>
              <w:bottom w:val="single" w:color="000000" w:sz="4" w:space="0"/>
              <w:right w:val="single" w:color="000000" w:sz="4" w:space="0"/>
            </w:tcBorders>
            <w:vAlign w:val="center"/>
          </w:tcPr>
          <w:p w14:paraId="72698969">
            <w:pPr>
              <w:jc w:val="both"/>
              <w:rPr>
                <w:rFonts w:hint="default" w:ascii="Times New Roman" w:hAnsi="Times New Roman" w:eastAsia="仿宋_GB2312" w:cs="Times New Roman"/>
                <w:kern w:val="0"/>
                <w:sz w:val="22"/>
                <w:szCs w:val="22"/>
                <w:lang w:eastAsia="zh-CN"/>
              </w:rPr>
            </w:pPr>
            <w:r>
              <w:rPr>
                <w:rFonts w:hint="default" w:ascii="Times New Roman" w:hAnsi="Times New Roman" w:eastAsia="仿宋_GB2312" w:cs="Times New Roman"/>
                <w:spacing w:val="3"/>
                <w:kern w:val="0"/>
                <w:sz w:val="22"/>
                <w:szCs w:val="22"/>
                <w:lang w:eastAsia="zh-CN"/>
              </w:rPr>
              <w:t>1.</w:t>
            </w:r>
            <w:r>
              <w:rPr>
                <w:rFonts w:hint="default" w:ascii="Times New Roman" w:hAnsi="Times New Roman" w:eastAsia="仿宋_GB2312" w:cs="Times New Roman"/>
                <w:kern w:val="0"/>
                <w:sz w:val="22"/>
                <w:szCs w:val="22"/>
                <w:lang w:eastAsia="zh-CN"/>
              </w:rPr>
              <w:t>精神饱满，语言生动流畅，仪表端庄</w:t>
            </w:r>
          </w:p>
        </w:tc>
        <w:tc>
          <w:tcPr>
            <w:tcW w:w="600" w:type="dxa"/>
            <w:tcBorders>
              <w:top w:val="single" w:color="000000" w:sz="4" w:space="0"/>
              <w:left w:val="single" w:color="000000" w:sz="4" w:space="0"/>
              <w:bottom w:val="single" w:color="000000" w:sz="4" w:space="0"/>
              <w:right w:val="single" w:color="000000" w:sz="4" w:space="0"/>
            </w:tcBorders>
            <w:vAlign w:val="center"/>
          </w:tcPr>
          <w:p w14:paraId="78B9214D">
            <w:pPr>
              <w:ind w:right="1"/>
              <w:jc w:val="center"/>
              <w:rPr>
                <w:rFonts w:hint="default" w:ascii="Times New Roman" w:hAnsi="Times New Roman" w:eastAsia="仿宋_GB2312" w:cs="Times New Roman"/>
                <w:kern w:val="0"/>
                <w:sz w:val="22"/>
                <w:szCs w:val="22"/>
                <w:lang w:eastAsia="en-US"/>
              </w:rPr>
            </w:pPr>
            <w:r>
              <w:rPr>
                <w:rFonts w:hint="default" w:ascii="Times New Roman" w:hAnsi="Times New Roman" w:eastAsia="仿宋_GB2312" w:cs="Times New Roman"/>
                <w:w w:val="99"/>
                <w:kern w:val="0"/>
                <w:sz w:val="22"/>
                <w:szCs w:val="22"/>
                <w:lang w:eastAsia="en-US"/>
              </w:rPr>
              <w:t>5</w:t>
            </w:r>
          </w:p>
        </w:tc>
        <w:tc>
          <w:tcPr>
            <w:tcW w:w="586" w:type="dxa"/>
            <w:tcBorders>
              <w:top w:val="single" w:color="000000" w:sz="4" w:space="0"/>
              <w:left w:val="single" w:color="000000" w:sz="4" w:space="0"/>
              <w:bottom w:val="single" w:color="000000" w:sz="4" w:space="0"/>
              <w:right w:val="single" w:color="000000" w:sz="4" w:space="0"/>
            </w:tcBorders>
            <w:vAlign w:val="center"/>
          </w:tcPr>
          <w:p w14:paraId="3D610B36">
            <w:pPr>
              <w:jc w:val="both"/>
              <w:rPr>
                <w:rFonts w:hint="default" w:ascii="Times New Roman" w:hAnsi="Times New Roman" w:eastAsia="仿宋_GB2312" w:cs="Times New Roman"/>
                <w:kern w:val="0"/>
                <w:sz w:val="22"/>
                <w:szCs w:val="22"/>
                <w:lang w:eastAsia="en-US"/>
              </w:rPr>
            </w:pPr>
          </w:p>
        </w:tc>
        <w:tc>
          <w:tcPr>
            <w:tcW w:w="783" w:type="dxa"/>
            <w:tcBorders>
              <w:top w:val="single" w:color="000000" w:sz="4" w:space="0"/>
              <w:left w:val="single" w:color="000000" w:sz="4" w:space="0"/>
              <w:bottom w:val="single" w:color="000000" w:sz="4" w:space="0"/>
              <w:right w:val="single" w:color="000000" w:sz="4" w:space="0"/>
            </w:tcBorders>
            <w:vAlign w:val="center"/>
          </w:tcPr>
          <w:p w14:paraId="5734D486">
            <w:pPr>
              <w:jc w:val="both"/>
              <w:rPr>
                <w:rFonts w:hint="default" w:ascii="Times New Roman" w:hAnsi="Times New Roman" w:eastAsia="仿宋_GB2312" w:cs="Times New Roman"/>
                <w:kern w:val="0"/>
                <w:sz w:val="22"/>
                <w:szCs w:val="22"/>
                <w:lang w:eastAsia="en-US"/>
              </w:rPr>
            </w:pPr>
          </w:p>
        </w:tc>
      </w:tr>
      <w:tr w14:paraId="6DCDD8A8">
        <w:tblPrEx>
          <w:tblCellMar>
            <w:top w:w="0" w:type="dxa"/>
            <w:left w:w="0" w:type="dxa"/>
            <w:bottom w:w="0" w:type="dxa"/>
            <w:right w:w="0" w:type="dxa"/>
          </w:tblCellMar>
        </w:tblPrEx>
        <w:trPr>
          <w:trHeight w:val="888" w:hRule="exact"/>
          <w:jc w:val="center"/>
        </w:trPr>
        <w:tc>
          <w:tcPr>
            <w:tcW w:w="879" w:type="dxa"/>
            <w:vMerge w:val="continue"/>
            <w:tcBorders>
              <w:left w:val="single" w:color="000000" w:sz="4" w:space="0"/>
              <w:right w:val="single" w:color="000000" w:sz="4" w:space="0"/>
            </w:tcBorders>
            <w:vAlign w:val="center"/>
          </w:tcPr>
          <w:p w14:paraId="5D28424F">
            <w:pPr>
              <w:jc w:val="both"/>
              <w:rPr>
                <w:rFonts w:hint="default" w:ascii="Times New Roman" w:hAnsi="Times New Roman" w:eastAsia="仿宋_GB2312" w:cs="Times New Roman"/>
                <w:kern w:val="0"/>
                <w:sz w:val="22"/>
                <w:szCs w:val="22"/>
                <w:lang w:eastAsia="en-US"/>
              </w:rPr>
            </w:pPr>
          </w:p>
        </w:tc>
        <w:tc>
          <w:tcPr>
            <w:tcW w:w="7167" w:type="dxa"/>
            <w:tcBorders>
              <w:top w:val="single" w:color="000000" w:sz="4" w:space="0"/>
              <w:left w:val="single" w:color="000000" w:sz="4" w:space="0"/>
              <w:bottom w:val="single" w:color="000000" w:sz="4" w:space="0"/>
              <w:right w:val="single" w:color="000000" w:sz="4" w:space="0"/>
            </w:tcBorders>
            <w:vAlign w:val="center"/>
          </w:tcPr>
          <w:p w14:paraId="097AA281">
            <w:pPr>
              <w:jc w:val="both"/>
              <w:rPr>
                <w:rFonts w:hint="default" w:ascii="Times New Roman" w:hAnsi="Times New Roman" w:eastAsia="仿宋_GB2312" w:cs="Times New Roman"/>
                <w:kern w:val="0"/>
                <w:sz w:val="22"/>
                <w:szCs w:val="22"/>
                <w:lang w:eastAsia="zh-CN"/>
              </w:rPr>
            </w:pPr>
            <w:r>
              <w:rPr>
                <w:rFonts w:hint="default" w:ascii="Times New Roman" w:hAnsi="Times New Roman" w:eastAsia="仿宋_GB2312" w:cs="Times New Roman"/>
                <w:spacing w:val="-3"/>
                <w:kern w:val="0"/>
                <w:sz w:val="22"/>
                <w:szCs w:val="22"/>
                <w:lang w:eastAsia="zh-CN"/>
              </w:rPr>
              <w:t>2.</w:t>
            </w:r>
            <w:r>
              <w:rPr>
                <w:rFonts w:hint="default" w:ascii="Times New Roman" w:hAnsi="Times New Roman" w:eastAsia="仿宋_GB2312" w:cs="Times New Roman"/>
                <w:kern w:val="0"/>
                <w:sz w:val="22"/>
                <w:szCs w:val="22"/>
                <w:lang w:eastAsia="zh-CN"/>
              </w:rPr>
              <w:t>对手术过程认识充分，手法熟练，有丰富操作经验</w:t>
            </w:r>
          </w:p>
        </w:tc>
        <w:tc>
          <w:tcPr>
            <w:tcW w:w="600" w:type="dxa"/>
            <w:tcBorders>
              <w:top w:val="single" w:color="000000" w:sz="4" w:space="0"/>
              <w:left w:val="single" w:color="000000" w:sz="4" w:space="0"/>
              <w:bottom w:val="single" w:color="000000" w:sz="4" w:space="0"/>
              <w:right w:val="single" w:color="000000" w:sz="4" w:space="0"/>
            </w:tcBorders>
            <w:vAlign w:val="center"/>
          </w:tcPr>
          <w:p w14:paraId="4C1DB9ED">
            <w:pPr>
              <w:ind w:right="1"/>
              <w:jc w:val="center"/>
              <w:rPr>
                <w:rFonts w:hint="default" w:ascii="Times New Roman" w:hAnsi="Times New Roman" w:eastAsia="仿宋_GB2312" w:cs="Times New Roman"/>
                <w:kern w:val="0"/>
                <w:sz w:val="22"/>
                <w:szCs w:val="22"/>
                <w:lang w:eastAsia="en-US"/>
              </w:rPr>
            </w:pPr>
            <w:r>
              <w:rPr>
                <w:rFonts w:hint="default" w:ascii="Times New Roman" w:hAnsi="Times New Roman" w:eastAsia="仿宋_GB2312" w:cs="Times New Roman"/>
                <w:w w:val="99"/>
                <w:kern w:val="0"/>
                <w:sz w:val="22"/>
                <w:szCs w:val="22"/>
                <w:lang w:eastAsia="en-US"/>
              </w:rPr>
              <w:t>5</w:t>
            </w:r>
          </w:p>
        </w:tc>
        <w:tc>
          <w:tcPr>
            <w:tcW w:w="586" w:type="dxa"/>
            <w:tcBorders>
              <w:top w:val="single" w:color="000000" w:sz="4" w:space="0"/>
              <w:left w:val="single" w:color="000000" w:sz="4" w:space="0"/>
              <w:bottom w:val="single" w:color="000000" w:sz="4" w:space="0"/>
              <w:right w:val="single" w:color="000000" w:sz="4" w:space="0"/>
            </w:tcBorders>
            <w:vAlign w:val="center"/>
          </w:tcPr>
          <w:p w14:paraId="20BAAEB2">
            <w:pPr>
              <w:jc w:val="both"/>
              <w:rPr>
                <w:rFonts w:hint="default" w:ascii="Times New Roman" w:hAnsi="Times New Roman" w:eastAsia="仿宋_GB2312" w:cs="Times New Roman"/>
                <w:kern w:val="0"/>
                <w:sz w:val="22"/>
                <w:szCs w:val="22"/>
                <w:lang w:eastAsia="en-US"/>
              </w:rPr>
            </w:pPr>
          </w:p>
        </w:tc>
        <w:tc>
          <w:tcPr>
            <w:tcW w:w="783" w:type="dxa"/>
            <w:tcBorders>
              <w:top w:val="single" w:color="000000" w:sz="4" w:space="0"/>
              <w:left w:val="single" w:color="000000" w:sz="4" w:space="0"/>
              <w:bottom w:val="single" w:color="000000" w:sz="4" w:space="0"/>
              <w:right w:val="single" w:color="000000" w:sz="4" w:space="0"/>
            </w:tcBorders>
            <w:vAlign w:val="center"/>
          </w:tcPr>
          <w:p w14:paraId="2BDF8322">
            <w:pPr>
              <w:jc w:val="both"/>
              <w:rPr>
                <w:rFonts w:hint="default" w:ascii="Times New Roman" w:hAnsi="Times New Roman" w:eastAsia="仿宋_GB2312" w:cs="Times New Roman"/>
                <w:kern w:val="0"/>
                <w:sz w:val="22"/>
                <w:szCs w:val="22"/>
                <w:lang w:eastAsia="en-US"/>
              </w:rPr>
            </w:pPr>
          </w:p>
        </w:tc>
      </w:tr>
      <w:tr w14:paraId="6CD70080">
        <w:tblPrEx>
          <w:tblCellMar>
            <w:top w:w="0" w:type="dxa"/>
            <w:left w:w="0" w:type="dxa"/>
            <w:bottom w:w="0" w:type="dxa"/>
            <w:right w:w="0" w:type="dxa"/>
          </w:tblCellMar>
        </w:tblPrEx>
        <w:trPr>
          <w:trHeight w:val="680" w:hRule="exact"/>
          <w:jc w:val="center"/>
        </w:trPr>
        <w:tc>
          <w:tcPr>
            <w:tcW w:w="8046" w:type="dxa"/>
            <w:gridSpan w:val="2"/>
            <w:tcBorders>
              <w:top w:val="single" w:color="000000" w:sz="4" w:space="0"/>
              <w:left w:val="single" w:color="000000" w:sz="4" w:space="0"/>
              <w:bottom w:val="single" w:color="000000" w:sz="4" w:space="0"/>
              <w:right w:val="single" w:color="000000" w:sz="4" w:space="0"/>
            </w:tcBorders>
            <w:vAlign w:val="center"/>
          </w:tcPr>
          <w:p w14:paraId="17E81696">
            <w:pPr>
              <w:ind w:left="-1" w:right="1"/>
              <w:jc w:val="center"/>
              <w:rPr>
                <w:rFonts w:hint="default" w:ascii="Times New Roman" w:hAnsi="Times New Roman" w:eastAsia="仿宋_GB2312" w:cs="Times New Roman"/>
                <w:kern w:val="0"/>
                <w:sz w:val="22"/>
                <w:szCs w:val="22"/>
                <w:lang w:eastAsia="en-US"/>
              </w:rPr>
            </w:pPr>
            <w:r>
              <w:rPr>
                <w:rFonts w:hint="default" w:ascii="Times New Roman" w:hAnsi="Times New Roman" w:eastAsia="仿宋_GB2312" w:cs="Times New Roman"/>
                <w:b/>
                <w:bCs/>
                <w:kern w:val="0"/>
                <w:sz w:val="22"/>
                <w:szCs w:val="22"/>
                <w:lang w:eastAsia="en-US"/>
              </w:rPr>
              <w:t>总分</w:t>
            </w:r>
          </w:p>
        </w:tc>
        <w:tc>
          <w:tcPr>
            <w:tcW w:w="600" w:type="dxa"/>
            <w:tcBorders>
              <w:top w:val="single" w:color="000000" w:sz="4" w:space="0"/>
              <w:left w:val="single" w:color="000000" w:sz="4" w:space="0"/>
              <w:bottom w:val="single" w:color="000000" w:sz="4" w:space="0"/>
              <w:right w:val="single" w:color="000000" w:sz="4" w:space="0"/>
            </w:tcBorders>
            <w:vAlign w:val="center"/>
          </w:tcPr>
          <w:p w14:paraId="687204BF">
            <w:pPr>
              <w:ind w:left="136"/>
              <w:jc w:val="both"/>
              <w:rPr>
                <w:rFonts w:hint="default" w:ascii="Times New Roman" w:hAnsi="Times New Roman" w:eastAsia="仿宋_GB2312" w:cs="Times New Roman"/>
                <w:kern w:val="0"/>
                <w:sz w:val="22"/>
                <w:szCs w:val="22"/>
                <w:lang w:eastAsia="en-US"/>
              </w:rPr>
            </w:pPr>
            <w:r>
              <w:rPr>
                <w:rFonts w:hint="default" w:ascii="Times New Roman" w:hAnsi="Times New Roman" w:eastAsia="仿宋_GB2312" w:cs="Times New Roman"/>
                <w:kern w:val="0"/>
                <w:sz w:val="22"/>
                <w:szCs w:val="22"/>
                <w:lang w:eastAsia="en-US"/>
              </w:rPr>
              <w:t>100</w:t>
            </w:r>
          </w:p>
        </w:tc>
        <w:tc>
          <w:tcPr>
            <w:tcW w:w="586" w:type="dxa"/>
            <w:tcBorders>
              <w:top w:val="single" w:color="000000" w:sz="4" w:space="0"/>
              <w:left w:val="single" w:color="000000" w:sz="4" w:space="0"/>
              <w:bottom w:val="single" w:color="000000" w:sz="4" w:space="0"/>
              <w:right w:val="single" w:color="000000" w:sz="4" w:space="0"/>
            </w:tcBorders>
            <w:vAlign w:val="center"/>
          </w:tcPr>
          <w:p w14:paraId="5FB2748F">
            <w:pPr>
              <w:jc w:val="both"/>
              <w:rPr>
                <w:rFonts w:hint="default" w:ascii="Times New Roman" w:hAnsi="Times New Roman" w:eastAsia="仿宋_GB2312" w:cs="Times New Roman"/>
                <w:kern w:val="0"/>
                <w:sz w:val="22"/>
                <w:szCs w:val="22"/>
                <w:lang w:eastAsia="en-US"/>
              </w:rPr>
            </w:pPr>
          </w:p>
        </w:tc>
        <w:tc>
          <w:tcPr>
            <w:tcW w:w="783" w:type="dxa"/>
            <w:tcBorders>
              <w:top w:val="single" w:color="000000" w:sz="4" w:space="0"/>
              <w:left w:val="single" w:color="000000" w:sz="4" w:space="0"/>
              <w:bottom w:val="single" w:color="000000" w:sz="4" w:space="0"/>
              <w:right w:val="single" w:color="000000" w:sz="4" w:space="0"/>
            </w:tcBorders>
            <w:vAlign w:val="center"/>
          </w:tcPr>
          <w:p w14:paraId="3ACBA020">
            <w:pPr>
              <w:jc w:val="both"/>
              <w:rPr>
                <w:rFonts w:hint="default" w:ascii="Times New Roman" w:hAnsi="Times New Roman" w:eastAsia="仿宋_GB2312" w:cs="Times New Roman"/>
                <w:kern w:val="0"/>
                <w:sz w:val="22"/>
                <w:szCs w:val="22"/>
                <w:lang w:eastAsia="en-US"/>
              </w:rPr>
            </w:pPr>
          </w:p>
        </w:tc>
      </w:tr>
    </w:tbl>
    <w:p w14:paraId="17369F7B">
      <w:pPr>
        <w:spacing w:before="11"/>
        <w:jc w:val="left"/>
        <w:rPr>
          <w:rFonts w:ascii="宋体" w:hAnsi="宋体" w:eastAsia="宋体" w:cs="宋体"/>
          <w:kern w:val="0"/>
          <w:sz w:val="12"/>
          <w:szCs w:val="12"/>
          <w:lang w:eastAsia="en-US"/>
        </w:rPr>
      </w:pPr>
    </w:p>
    <w:p w14:paraId="0A95E6EA">
      <w:pPr>
        <w:tabs>
          <w:tab w:val="left" w:pos="3949"/>
          <w:tab w:val="left" w:pos="5937"/>
          <w:tab w:val="left" w:pos="6964"/>
          <w:tab w:val="left" w:pos="8205"/>
        </w:tabs>
        <w:spacing w:before="34" w:line="360" w:lineRule="auto"/>
        <w:ind w:left="1065"/>
        <w:jc w:val="left"/>
        <w:rPr>
          <w:rFonts w:ascii="宋体" w:hAnsi="宋体" w:eastAsia="宋体" w:cs="宋体"/>
          <w:w w:val="95"/>
          <w:kern w:val="0"/>
          <w:szCs w:val="21"/>
        </w:rPr>
      </w:pPr>
      <w:r>
        <w:rPr>
          <w:rFonts w:hint="eastAsia" w:ascii="宋体" w:hAnsi="宋体" w:eastAsia="宋体" w:cs="宋体"/>
          <w:w w:val="95"/>
          <w:kern w:val="0"/>
          <w:szCs w:val="21"/>
        </w:rPr>
        <w:t>评语：</w:t>
      </w:r>
    </w:p>
    <w:p w14:paraId="37D74557">
      <w:pPr>
        <w:tabs>
          <w:tab w:val="left" w:pos="3949"/>
          <w:tab w:val="left" w:pos="5937"/>
          <w:tab w:val="left" w:pos="6964"/>
          <w:tab w:val="left" w:pos="8205"/>
        </w:tabs>
        <w:spacing w:before="34" w:line="360" w:lineRule="auto"/>
        <w:ind w:left="1065"/>
        <w:jc w:val="left"/>
        <w:rPr>
          <w:rFonts w:ascii="宋体" w:hAnsi="宋体" w:eastAsia="宋体" w:cs="宋体"/>
          <w:kern w:val="0"/>
          <w:szCs w:val="21"/>
        </w:rPr>
      </w:pPr>
      <w:r>
        <w:rPr>
          <w:rFonts w:ascii="宋体" w:hAnsi="宋体" w:eastAsia="宋体" w:cs="宋体"/>
          <w:w w:val="95"/>
          <w:kern w:val="0"/>
          <w:szCs w:val="21"/>
        </w:rPr>
        <w:t>评价人：</w:t>
      </w:r>
      <w:r>
        <w:rPr>
          <w:rFonts w:ascii="宋体" w:hAnsi="宋体" w:eastAsia="宋体" w:cs="宋体"/>
          <w:w w:val="95"/>
          <w:kern w:val="0"/>
          <w:szCs w:val="21"/>
        </w:rPr>
        <w:tab/>
      </w:r>
      <w:r>
        <w:rPr>
          <w:rFonts w:ascii="宋体" w:hAnsi="宋体" w:eastAsia="宋体" w:cs="宋体"/>
          <w:w w:val="95"/>
          <w:kern w:val="0"/>
          <w:szCs w:val="21"/>
        </w:rPr>
        <w:t>评价日期：</w:t>
      </w:r>
      <w:r>
        <w:rPr>
          <w:rFonts w:ascii="宋体" w:hAnsi="宋体" w:eastAsia="宋体" w:cs="宋体"/>
          <w:w w:val="95"/>
          <w:kern w:val="0"/>
          <w:szCs w:val="21"/>
        </w:rPr>
        <w:tab/>
      </w:r>
      <w:r>
        <w:rPr>
          <w:rFonts w:ascii="宋体" w:hAnsi="宋体" w:eastAsia="宋体" w:cs="宋体"/>
          <w:w w:val="95"/>
          <w:kern w:val="0"/>
          <w:szCs w:val="21"/>
        </w:rPr>
        <w:t>年月</w:t>
      </w:r>
      <w:r>
        <w:rPr>
          <w:rFonts w:ascii="宋体" w:hAnsi="宋体" w:eastAsia="宋体" w:cs="宋体"/>
          <w:w w:val="95"/>
          <w:kern w:val="0"/>
          <w:szCs w:val="21"/>
        </w:rPr>
        <w:tab/>
      </w:r>
      <w:r>
        <w:rPr>
          <w:rFonts w:ascii="宋体" w:hAnsi="宋体" w:eastAsia="宋体" w:cs="宋体"/>
          <w:kern w:val="0"/>
          <w:szCs w:val="21"/>
        </w:rPr>
        <w:t>日</w:t>
      </w:r>
    </w:p>
    <w:p w14:paraId="4240D071">
      <w:pPr>
        <w:tabs>
          <w:tab w:val="left" w:pos="3949"/>
          <w:tab w:val="left" w:pos="5937"/>
          <w:tab w:val="left" w:pos="6964"/>
          <w:tab w:val="left" w:pos="8205"/>
        </w:tabs>
        <w:spacing w:before="34" w:line="360" w:lineRule="auto"/>
        <w:ind w:left="1065"/>
        <w:jc w:val="left"/>
        <w:rPr>
          <w:rFonts w:ascii="宋体" w:hAnsi="宋体" w:eastAsia="宋体" w:cs="宋体"/>
          <w:kern w:val="0"/>
          <w:szCs w:val="21"/>
        </w:rPr>
      </w:pPr>
    </w:p>
    <w:p w14:paraId="44CFC0D0">
      <w:pPr>
        <w:spacing w:line="427" w:lineRule="auto"/>
        <w:ind w:right="45"/>
        <w:jc w:val="left"/>
        <w:rPr>
          <w:rFonts w:ascii="宋体" w:hAnsi="宋体" w:eastAsia="宋体" w:cs="宋体"/>
          <w:w w:val="95"/>
          <w:kern w:val="0"/>
          <w:szCs w:val="21"/>
        </w:rPr>
      </w:pPr>
      <w:bookmarkStart w:id="1" w:name="_GoBack"/>
      <w:bookmarkEnd w:id="1"/>
    </w:p>
    <w:sectPr>
      <w:footerReference r:id="rId5" w:type="default"/>
      <w:footerReference r:id="rId6"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BB8C50E-FC54-4483-9BD9-E0686CF4EFD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7BFBBD6F-4812-4BB0-B284-893B01B0A5DF}"/>
  </w:font>
  <w:font w:name="等线">
    <w:panose1 w:val="02010600030101010101"/>
    <w:charset w:val="86"/>
    <w:family w:val="auto"/>
    <w:pitch w:val="default"/>
    <w:sig w:usb0="A00002BF" w:usb1="38CF7CFA" w:usb2="00000016" w:usb3="00000000" w:csb0="0004000F" w:csb1="00000000"/>
    <w:embedRegular r:id="rId3" w:fontKey="{AABD127F-617A-4F8F-87F9-6EA538A78F0A}"/>
  </w:font>
  <w:font w:name="方正小标宋_GBK">
    <w:panose1 w:val="02000000000000000000"/>
    <w:charset w:val="86"/>
    <w:family w:val="auto"/>
    <w:pitch w:val="default"/>
    <w:sig w:usb0="A00002BF" w:usb1="38CF7CFA" w:usb2="00082016" w:usb3="00000000" w:csb0="00040001" w:csb1="00000000"/>
    <w:embedRegular r:id="rId4" w:fontKey="{24BA33A8-07A2-4F00-926C-D6547BC9CA49}"/>
  </w:font>
  <w:font w:name="FZXBSK--GBK1-0">
    <w:altName w:val="宋体"/>
    <w:panose1 w:val="02000000000000000000"/>
    <w:charset w:val="86"/>
    <w:family w:val="auto"/>
    <w:pitch w:val="default"/>
    <w:sig w:usb0="00000000" w:usb1="00000000" w:usb2="00082016" w:usb3="00000000" w:csb0="00040001" w:csb1="00000000"/>
    <w:embedRegular r:id="rId5" w:fontKey="{3C0564D8-CADF-44BE-AC34-41A622D4F036}"/>
  </w:font>
  <w:font w:name="仿宋_GB2312">
    <w:panose1 w:val="02010609030101010101"/>
    <w:charset w:val="86"/>
    <w:family w:val="auto"/>
    <w:pitch w:val="default"/>
    <w:sig w:usb0="00000001" w:usb1="080E0000" w:usb2="00000000" w:usb3="00000000" w:csb0="00040000" w:csb1="00000000"/>
    <w:embedRegular r:id="rId6" w:fontKey="{579F3326-9F69-4F2B-AA38-D32294A1AC62}"/>
  </w:font>
  <w:font w:name="楷体">
    <w:panose1 w:val="02010609060101010101"/>
    <w:charset w:val="86"/>
    <w:family w:val="modern"/>
    <w:pitch w:val="default"/>
    <w:sig w:usb0="800002BF" w:usb1="38CF7CFA" w:usb2="00000016" w:usb3="00000000" w:csb0="00040001" w:csb1="00000000"/>
    <w:embedRegular r:id="rId7" w:fontKey="{04DC4421-38D4-4C7B-B872-BEEC607430FF}"/>
  </w:font>
  <w:font w:name="Microsoft JhengHei">
    <w:panose1 w:val="020B0604030504040204"/>
    <w:charset w:val="88"/>
    <w:family w:val="swiss"/>
    <w:pitch w:val="default"/>
    <w:sig w:usb0="000002A7" w:usb1="28CF4400" w:usb2="00000016" w:usb3="00000000" w:csb0="00100009" w:csb1="00000000"/>
    <w:embedRegular r:id="rId8" w:fontKey="{67E58AB6-9BDE-4A8E-8028-CF74866A62F8}"/>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10"/>
      </w:rPr>
      <w:id w:val="-1"/>
    </w:sdtPr>
    <w:sdtEndPr>
      <w:rPr>
        <w:rStyle w:val="10"/>
      </w:rPr>
    </w:sdtEndPr>
    <w:sdtContent>
      <w:p w14:paraId="601707B0">
        <w:pPr>
          <w:pStyle w:val="5"/>
          <w:framePr w:wrap="auto" w:vAnchor="text" w:hAnchor="margin" w:xAlign="right" w:y="1"/>
          <w:rPr>
            <w:rStyle w:val="10"/>
          </w:rPr>
        </w:pPr>
        <w:r>
          <w:rPr>
            <w:rStyle w:val="10"/>
          </w:rPr>
          <w:fldChar w:fldCharType="begin"/>
        </w:r>
        <w:r>
          <w:rPr>
            <w:rStyle w:val="10"/>
          </w:rPr>
          <w:instrText xml:space="preserve"> PAGE </w:instrText>
        </w:r>
        <w:r>
          <w:rPr>
            <w:rStyle w:val="10"/>
          </w:rPr>
          <w:fldChar w:fldCharType="separate"/>
        </w:r>
        <w:r>
          <w:rPr>
            <w:rStyle w:val="10"/>
          </w:rPr>
          <w:t>9</w:t>
        </w:r>
        <w:r>
          <w:rPr>
            <w:rStyle w:val="10"/>
          </w:rPr>
          <w:fldChar w:fldCharType="end"/>
        </w:r>
      </w:p>
    </w:sdtContent>
  </w:sdt>
  <w:p w14:paraId="48F163E3">
    <w:pPr>
      <w:spacing w:line="14" w:lineRule="auto"/>
      <w:ind w:right="360"/>
      <w:rPr>
        <w:sz w:val="20"/>
        <w:szCs w:val="20"/>
      </w:rPr>
    </w:pPr>
    <w:r>
      <w:rPr>
        <w:sz w:val="22"/>
      </w:rPr>
      <mc:AlternateContent>
        <mc:Choice Requires="wps">
          <w:drawing>
            <wp:anchor distT="0" distB="0" distL="114300" distR="114300" simplePos="0" relativeHeight="251659264" behindDoc="1" locked="0" layoutInCell="1" allowOverlap="1">
              <wp:simplePos x="0" y="0"/>
              <wp:positionH relativeFrom="page">
                <wp:posOffset>3696335</wp:posOffset>
              </wp:positionH>
              <wp:positionV relativeFrom="page">
                <wp:posOffset>9792970</wp:posOffset>
              </wp:positionV>
              <wp:extent cx="167005" cy="139700"/>
              <wp:effectExtent l="635" t="1270" r="3810" b="1905"/>
              <wp:wrapNone/>
              <wp:docPr id="13" name="文本框 13"/>
              <wp:cNvGraphicFramePr/>
              <a:graphic xmlns:a="http://schemas.openxmlformats.org/drawingml/2006/main">
                <a:graphicData uri="http://schemas.microsoft.com/office/word/2010/wordprocessingShape">
                  <wps:wsp>
                    <wps:cNvSpPr txBox="1">
                      <a:spLocks noChangeArrowheads="1"/>
                    </wps:cNvSpPr>
                    <wps:spPr bwMode="auto">
                      <a:xfrm>
                        <a:off x="0" y="0"/>
                        <a:ext cx="167005" cy="139700"/>
                      </a:xfrm>
                      <a:prstGeom prst="rect">
                        <a:avLst/>
                      </a:prstGeom>
                      <a:noFill/>
                      <a:ln>
                        <a:noFill/>
                      </a:ln>
                    </wps:spPr>
                    <wps:txbx>
                      <w:txbxContent>
                        <w:p w14:paraId="08B48413">
                          <w:pPr>
                            <w:spacing w:line="203" w:lineRule="exact"/>
                            <w:ind w:left="40"/>
                            <w:rPr>
                              <w:rFonts w:ascii="Calibri" w:hAnsi="Calibri" w:eastAsia="Calibri" w:cs="Calibri"/>
                              <w:sz w:val="18"/>
                              <w:szCs w:val="18"/>
                            </w:rPr>
                          </w:pPr>
                          <w:r>
                            <w:fldChar w:fldCharType="begin"/>
                          </w:r>
                          <w:r>
                            <w:rPr>
                              <w:rFonts w:ascii="Calibri"/>
                              <w:w w:val="99"/>
                              <w:sz w:val="18"/>
                            </w:rPr>
                            <w:instrText xml:space="preserve"> PAGE </w:instrText>
                          </w:r>
                          <w:r>
                            <w:fldChar w:fldCharType="separate"/>
                          </w:r>
                          <w:r>
                            <w:t>20</w:t>
                          </w:r>
                          <w:r>
                            <w:fldChar w:fldCharType="end"/>
                          </w: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291.05pt;margin-top:771.1pt;height:11pt;width:13.15pt;mso-position-horizontal-relative:page;mso-position-vertical-relative:page;z-index:-251657216;mso-width-relative:page;mso-height-relative:page;" filled="f" stroked="f" coordsize="21600,21600" o:gfxdata="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Fuh7pvaAAAADQEAAA8AAAAAAAAAAQAg&#10;AAAAIgAAAGRycy9kb3ducmV2LnhtbFBLAQIUABQAAAAIAIdO4kBHllX1DAIAAAYEAAAOAAAAAAAA&#10;AAEAIAAAACkBAABkcnMvZTJvRG9jLnhtbFBLBQYAAAAABgAGAFkBAACnBQAAAAA=&#10;">
              <v:fill on="f" focussize="0,0"/>
              <v:stroke on="f"/>
              <v:imagedata o:title=""/>
              <o:lock v:ext="edit" aspectratio="f"/>
              <v:textbox inset="0mm,0mm,0mm,0mm">
                <w:txbxContent>
                  <w:p w14:paraId="08B48413">
                    <w:pPr>
                      <w:spacing w:line="203" w:lineRule="exact"/>
                      <w:ind w:left="40"/>
                      <w:rPr>
                        <w:rFonts w:ascii="Calibri" w:hAnsi="Calibri" w:eastAsia="Calibri" w:cs="Calibri"/>
                        <w:sz w:val="18"/>
                        <w:szCs w:val="18"/>
                      </w:rPr>
                    </w:pPr>
                    <w:r>
                      <w:fldChar w:fldCharType="begin"/>
                    </w:r>
                    <w:r>
                      <w:rPr>
                        <w:rFonts w:ascii="Calibri"/>
                        <w:w w:val="99"/>
                        <w:sz w:val="18"/>
                      </w:rPr>
                      <w:instrText xml:space="preserve"> PAGE </w:instrText>
                    </w:r>
                    <w:r>
                      <w:fldChar w:fldCharType="separate"/>
                    </w:r>
                    <w:r>
                      <w:t>20</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10"/>
      </w:rPr>
      <w:id w:val="515197038"/>
    </w:sdtPr>
    <w:sdtEndPr>
      <w:rPr>
        <w:rStyle w:val="10"/>
      </w:rPr>
    </w:sdtEndPr>
    <w:sdtContent>
      <w:p w14:paraId="510E0506">
        <w:pPr>
          <w:pStyle w:val="5"/>
          <w:framePr w:wrap="auto" w:vAnchor="text" w:hAnchor="margin" w:xAlign="right" w:y="1"/>
          <w:rPr>
            <w:rStyle w:val="10"/>
          </w:rPr>
        </w:pPr>
        <w:r>
          <w:rPr>
            <w:rStyle w:val="10"/>
          </w:rPr>
          <w:fldChar w:fldCharType="begin"/>
        </w:r>
        <w:r>
          <w:rPr>
            <w:rStyle w:val="10"/>
          </w:rPr>
          <w:instrText xml:space="preserve"> PAGE </w:instrText>
        </w:r>
        <w:r>
          <w:rPr>
            <w:rStyle w:val="10"/>
          </w:rPr>
          <w:fldChar w:fldCharType="separate"/>
        </w:r>
        <w:r>
          <w:rPr>
            <w:rStyle w:val="10"/>
          </w:rPr>
          <w:t>1</w:t>
        </w:r>
        <w:r>
          <w:rPr>
            <w:rStyle w:val="10"/>
          </w:rPr>
          <w:fldChar w:fldCharType="end"/>
        </w:r>
      </w:p>
    </w:sdtContent>
  </w:sdt>
  <w:p w14:paraId="52E1249E">
    <w:pPr>
      <w:pStyle w:val="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10"/>
      </w:rPr>
      <w:id w:val="55531540"/>
    </w:sdtPr>
    <w:sdtEndPr>
      <w:rPr>
        <w:rStyle w:val="10"/>
      </w:rPr>
    </w:sdtEndPr>
    <w:sdtContent>
      <w:p w14:paraId="0E80808B">
        <w:pPr>
          <w:pStyle w:val="5"/>
          <w:framePr w:wrap="auto" w:vAnchor="text" w:hAnchor="margin" w:xAlign="right" w:y="1"/>
          <w:rPr>
            <w:rStyle w:val="10"/>
          </w:rPr>
        </w:pPr>
        <w:r>
          <w:rPr>
            <w:rStyle w:val="10"/>
          </w:rPr>
          <w:fldChar w:fldCharType="begin"/>
        </w:r>
        <w:r>
          <w:rPr>
            <w:rStyle w:val="10"/>
          </w:rPr>
          <w:instrText xml:space="preserve"> PAGE </w:instrText>
        </w:r>
        <w:r>
          <w:rPr>
            <w:rStyle w:val="10"/>
          </w:rPr>
          <w:fldChar w:fldCharType="separate"/>
        </w:r>
        <w:r>
          <w:rPr>
            <w:rStyle w:val="10"/>
          </w:rPr>
          <w:t>9</w:t>
        </w:r>
        <w:r>
          <w:rPr>
            <w:rStyle w:val="10"/>
          </w:rPr>
          <w:fldChar w:fldCharType="end"/>
        </w:r>
      </w:p>
    </w:sdtContent>
  </w:sdt>
  <w:p w14:paraId="3285A2FF">
    <w:pPr>
      <w:spacing w:line="14" w:lineRule="auto"/>
      <w:ind w:right="360"/>
      <w:rPr>
        <w:sz w:val="20"/>
        <w:szCs w:val="20"/>
      </w:rPr>
    </w:pPr>
    <w:r>
      <w:rPr>
        <w:sz w:val="22"/>
      </w:rPr>
      <mc:AlternateContent>
        <mc:Choice Requires="wps">
          <w:drawing>
            <wp:anchor distT="0" distB="0" distL="114300" distR="114300" simplePos="0" relativeHeight="251660288" behindDoc="1" locked="0" layoutInCell="1" allowOverlap="1">
              <wp:simplePos x="0" y="0"/>
              <wp:positionH relativeFrom="page">
                <wp:posOffset>3696335</wp:posOffset>
              </wp:positionH>
              <wp:positionV relativeFrom="page">
                <wp:posOffset>9792970</wp:posOffset>
              </wp:positionV>
              <wp:extent cx="167005" cy="139700"/>
              <wp:effectExtent l="0" t="0" r="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167005" cy="139700"/>
                      </a:xfrm>
                      <a:prstGeom prst="rect">
                        <a:avLst/>
                      </a:prstGeom>
                      <a:noFill/>
                      <a:ln>
                        <a:noFill/>
                      </a:ln>
                    </wps:spPr>
                    <wps:txbx>
                      <w:txbxContent>
                        <w:p w14:paraId="2927141E">
                          <w:pPr>
                            <w:spacing w:line="203" w:lineRule="exact"/>
                            <w:ind w:left="40"/>
                            <w:rPr>
                              <w:rFonts w:ascii="Calibri" w:hAnsi="Calibri" w:eastAsia="Calibri" w:cs="Calibri"/>
                              <w:sz w:val="18"/>
                              <w:szCs w:val="18"/>
                            </w:rPr>
                          </w:pPr>
                          <w:r>
                            <w:fldChar w:fldCharType="begin"/>
                          </w:r>
                          <w:r>
                            <w:rPr>
                              <w:rFonts w:ascii="Calibri"/>
                              <w:w w:val="99"/>
                              <w:sz w:val="18"/>
                            </w:rPr>
                            <w:instrText xml:space="preserve"> PAGE </w:instrText>
                          </w:r>
                          <w:r>
                            <w:fldChar w:fldCharType="separate"/>
                          </w:r>
                          <w:r>
                            <w:t>20</w:t>
                          </w:r>
                          <w:r>
                            <w:fldChar w:fldCharType="end"/>
                          </w: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291.05pt;margin-top:771.1pt;height:11pt;width:13.15pt;mso-position-horizontal-relative:page;mso-position-vertical-relative:page;z-index:-251656192;mso-width-relative:page;mso-height-relative:page;" filled="f" stroked="f" coordsize="21600,21600" o:gfxdata="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W6Hum9oAAAANAQAADwAAAAAAAAABACAAAAAi&#10;AAAAZHJzL2Rvd25yZXYueG1sUEsBAhQAFAAAAAgAh07iQOZLUeQIAgAABAQAAA4AAAAAAAAAAQAg&#10;AAAAKQEAAGRycy9lMm9Eb2MueG1sUEsFBgAAAAAGAAYAWQEAAKMFAAAAAA==&#10;">
              <v:fill on="f" focussize="0,0"/>
              <v:stroke on="f"/>
              <v:imagedata o:title=""/>
              <o:lock v:ext="edit" aspectratio="f"/>
              <v:textbox inset="0mm,0mm,0mm,0mm">
                <w:txbxContent>
                  <w:p w14:paraId="2927141E">
                    <w:pPr>
                      <w:spacing w:line="203" w:lineRule="exact"/>
                      <w:ind w:left="40"/>
                      <w:rPr>
                        <w:rFonts w:ascii="Calibri" w:hAnsi="Calibri" w:eastAsia="Calibri" w:cs="Calibri"/>
                        <w:sz w:val="18"/>
                        <w:szCs w:val="18"/>
                      </w:rPr>
                    </w:pPr>
                    <w:r>
                      <w:fldChar w:fldCharType="begin"/>
                    </w:r>
                    <w:r>
                      <w:rPr>
                        <w:rFonts w:ascii="Calibri"/>
                        <w:w w:val="99"/>
                        <w:sz w:val="18"/>
                      </w:rPr>
                      <w:instrText xml:space="preserve"> PAGE </w:instrText>
                    </w:r>
                    <w:r>
                      <w:fldChar w:fldCharType="separate"/>
                    </w:r>
                    <w:r>
                      <w:t>20</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10"/>
      </w:rPr>
      <w:id w:val="103668560"/>
    </w:sdtPr>
    <w:sdtEndPr>
      <w:rPr>
        <w:rStyle w:val="10"/>
      </w:rPr>
    </w:sdtEndPr>
    <w:sdtContent>
      <w:p w14:paraId="50A69D34">
        <w:pPr>
          <w:pStyle w:val="5"/>
          <w:framePr w:wrap="auto" w:vAnchor="text" w:hAnchor="margin" w:xAlign="right" w:y="1"/>
          <w:rPr>
            <w:rStyle w:val="10"/>
          </w:rPr>
        </w:pPr>
        <w:r>
          <w:rPr>
            <w:rStyle w:val="10"/>
          </w:rPr>
          <w:fldChar w:fldCharType="begin"/>
        </w:r>
        <w:r>
          <w:rPr>
            <w:rStyle w:val="10"/>
          </w:rPr>
          <w:instrText xml:space="preserve"> PAGE </w:instrText>
        </w:r>
        <w:r>
          <w:rPr>
            <w:rStyle w:val="10"/>
          </w:rPr>
          <w:fldChar w:fldCharType="separate"/>
        </w:r>
        <w:r>
          <w:rPr>
            <w:rStyle w:val="10"/>
          </w:rPr>
          <w:t>1</w:t>
        </w:r>
        <w:r>
          <w:rPr>
            <w:rStyle w:val="10"/>
          </w:rPr>
          <w:fldChar w:fldCharType="end"/>
        </w:r>
      </w:p>
    </w:sdtContent>
  </w:sdt>
  <w:p w14:paraId="39B709BC">
    <w:pPr>
      <w:pStyle w:val="5"/>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ZjOTBjYWNmMWI1MzU0N2I4ZjVjMzAzYTVkNGZkOWEifQ=="/>
  </w:docVars>
  <w:rsids>
    <w:rsidRoot w:val="00B83954"/>
    <w:rsid w:val="000048DA"/>
    <w:rsid w:val="00016E0C"/>
    <w:rsid w:val="00017DE8"/>
    <w:rsid w:val="00030799"/>
    <w:rsid w:val="0005242A"/>
    <w:rsid w:val="00091494"/>
    <w:rsid w:val="00092B1B"/>
    <w:rsid w:val="0009357C"/>
    <w:rsid w:val="000A1416"/>
    <w:rsid w:val="000A5914"/>
    <w:rsid w:val="000D6791"/>
    <w:rsid w:val="000E5C47"/>
    <w:rsid w:val="00121487"/>
    <w:rsid w:val="0016401B"/>
    <w:rsid w:val="00170B31"/>
    <w:rsid w:val="001724C3"/>
    <w:rsid w:val="00196BAD"/>
    <w:rsid w:val="001A38DE"/>
    <w:rsid w:val="001B2499"/>
    <w:rsid w:val="0020445E"/>
    <w:rsid w:val="00212DC5"/>
    <w:rsid w:val="00221029"/>
    <w:rsid w:val="002437DD"/>
    <w:rsid w:val="0029737A"/>
    <w:rsid w:val="002A59C0"/>
    <w:rsid w:val="002C3D0A"/>
    <w:rsid w:val="002C4A1B"/>
    <w:rsid w:val="002F0606"/>
    <w:rsid w:val="0031051B"/>
    <w:rsid w:val="00332C19"/>
    <w:rsid w:val="003B6A6F"/>
    <w:rsid w:val="003D3529"/>
    <w:rsid w:val="004222AE"/>
    <w:rsid w:val="00451BB3"/>
    <w:rsid w:val="00461ECC"/>
    <w:rsid w:val="00463744"/>
    <w:rsid w:val="00493564"/>
    <w:rsid w:val="004B1370"/>
    <w:rsid w:val="004D57B7"/>
    <w:rsid w:val="004E020D"/>
    <w:rsid w:val="004F1BC6"/>
    <w:rsid w:val="00517938"/>
    <w:rsid w:val="0052401E"/>
    <w:rsid w:val="00544F4D"/>
    <w:rsid w:val="005462EA"/>
    <w:rsid w:val="00554B71"/>
    <w:rsid w:val="005A0A4D"/>
    <w:rsid w:val="005A37D3"/>
    <w:rsid w:val="005D6851"/>
    <w:rsid w:val="00613D73"/>
    <w:rsid w:val="00615CCA"/>
    <w:rsid w:val="00637D2A"/>
    <w:rsid w:val="006411CA"/>
    <w:rsid w:val="00657613"/>
    <w:rsid w:val="006672CC"/>
    <w:rsid w:val="0068198F"/>
    <w:rsid w:val="00690EE6"/>
    <w:rsid w:val="00691ED8"/>
    <w:rsid w:val="0069437E"/>
    <w:rsid w:val="007204B7"/>
    <w:rsid w:val="00726BBA"/>
    <w:rsid w:val="007308B2"/>
    <w:rsid w:val="00733781"/>
    <w:rsid w:val="00746347"/>
    <w:rsid w:val="00757C21"/>
    <w:rsid w:val="00763939"/>
    <w:rsid w:val="00774658"/>
    <w:rsid w:val="00783914"/>
    <w:rsid w:val="007A1B8A"/>
    <w:rsid w:val="007B3EC8"/>
    <w:rsid w:val="007C43D6"/>
    <w:rsid w:val="007C7C60"/>
    <w:rsid w:val="007D1DD6"/>
    <w:rsid w:val="007F0C7C"/>
    <w:rsid w:val="008102D0"/>
    <w:rsid w:val="008103D8"/>
    <w:rsid w:val="008612FB"/>
    <w:rsid w:val="00881383"/>
    <w:rsid w:val="00891B72"/>
    <w:rsid w:val="008C5126"/>
    <w:rsid w:val="008D2011"/>
    <w:rsid w:val="008D7541"/>
    <w:rsid w:val="00903B55"/>
    <w:rsid w:val="00926F4B"/>
    <w:rsid w:val="0094169A"/>
    <w:rsid w:val="0097193E"/>
    <w:rsid w:val="00973C09"/>
    <w:rsid w:val="009B3065"/>
    <w:rsid w:val="009D7D76"/>
    <w:rsid w:val="00A40BC8"/>
    <w:rsid w:val="00A41E95"/>
    <w:rsid w:val="00A51BA3"/>
    <w:rsid w:val="00A60B9F"/>
    <w:rsid w:val="00AA2FF1"/>
    <w:rsid w:val="00AA702E"/>
    <w:rsid w:val="00AC0A84"/>
    <w:rsid w:val="00AC4EDC"/>
    <w:rsid w:val="00B0210B"/>
    <w:rsid w:val="00B2092A"/>
    <w:rsid w:val="00B32B4A"/>
    <w:rsid w:val="00B52537"/>
    <w:rsid w:val="00B83954"/>
    <w:rsid w:val="00B83963"/>
    <w:rsid w:val="00BA0F3F"/>
    <w:rsid w:val="00BB402B"/>
    <w:rsid w:val="00BB580F"/>
    <w:rsid w:val="00BB5A7D"/>
    <w:rsid w:val="00BC22BE"/>
    <w:rsid w:val="00BF3FB2"/>
    <w:rsid w:val="00C273F1"/>
    <w:rsid w:val="00C363A9"/>
    <w:rsid w:val="00C40683"/>
    <w:rsid w:val="00C50EF9"/>
    <w:rsid w:val="00C923C5"/>
    <w:rsid w:val="00CA47FF"/>
    <w:rsid w:val="00CB7361"/>
    <w:rsid w:val="00CF0179"/>
    <w:rsid w:val="00D339C1"/>
    <w:rsid w:val="00D477B2"/>
    <w:rsid w:val="00D51079"/>
    <w:rsid w:val="00D56C98"/>
    <w:rsid w:val="00D80690"/>
    <w:rsid w:val="00D87732"/>
    <w:rsid w:val="00DA061D"/>
    <w:rsid w:val="00DD54C0"/>
    <w:rsid w:val="00E12800"/>
    <w:rsid w:val="00E14185"/>
    <w:rsid w:val="00E41F75"/>
    <w:rsid w:val="00E6468A"/>
    <w:rsid w:val="00E72BB7"/>
    <w:rsid w:val="00E8242E"/>
    <w:rsid w:val="00E93FF9"/>
    <w:rsid w:val="00EA4E95"/>
    <w:rsid w:val="00EA650B"/>
    <w:rsid w:val="00EC1B14"/>
    <w:rsid w:val="00EF16BE"/>
    <w:rsid w:val="00EF77A2"/>
    <w:rsid w:val="00F15A58"/>
    <w:rsid w:val="00F31B63"/>
    <w:rsid w:val="00F372F8"/>
    <w:rsid w:val="00F667AB"/>
    <w:rsid w:val="00F701FB"/>
    <w:rsid w:val="00F823DC"/>
    <w:rsid w:val="00F94E0C"/>
    <w:rsid w:val="02FFC59A"/>
    <w:rsid w:val="0DE501A0"/>
    <w:rsid w:val="1773303B"/>
    <w:rsid w:val="1F09829D"/>
    <w:rsid w:val="21CE76E2"/>
    <w:rsid w:val="26C63285"/>
    <w:rsid w:val="2B962D0B"/>
    <w:rsid w:val="313F35D2"/>
    <w:rsid w:val="31662A68"/>
    <w:rsid w:val="367FF9E9"/>
    <w:rsid w:val="376FC4EB"/>
    <w:rsid w:val="395FD7F9"/>
    <w:rsid w:val="3EE96C54"/>
    <w:rsid w:val="3EEF65B8"/>
    <w:rsid w:val="3FFF33B3"/>
    <w:rsid w:val="463360D5"/>
    <w:rsid w:val="4D174608"/>
    <w:rsid w:val="50F56C7A"/>
    <w:rsid w:val="52DBDB86"/>
    <w:rsid w:val="57FF88B9"/>
    <w:rsid w:val="5DB49285"/>
    <w:rsid w:val="5F7F049A"/>
    <w:rsid w:val="5F7FB5DA"/>
    <w:rsid w:val="6371543E"/>
    <w:rsid w:val="65FFFB0A"/>
    <w:rsid w:val="664F1CBE"/>
    <w:rsid w:val="66D33234"/>
    <w:rsid w:val="6FEBADB8"/>
    <w:rsid w:val="742F0B52"/>
    <w:rsid w:val="75D866D0"/>
    <w:rsid w:val="761F4D81"/>
    <w:rsid w:val="79B426CC"/>
    <w:rsid w:val="7BFE422F"/>
    <w:rsid w:val="7DE79E17"/>
    <w:rsid w:val="7EA38C12"/>
    <w:rsid w:val="9FBF2E77"/>
    <w:rsid w:val="A97ADC0C"/>
    <w:rsid w:val="AFFF937F"/>
    <w:rsid w:val="B4675A17"/>
    <w:rsid w:val="B66B05F3"/>
    <w:rsid w:val="B7D70475"/>
    <w:rsid w:val="BEE7627F"/>
    <w:rsid w:val="BFBF3CA6"/>
    <w:rsid w:val="CBEDBFA3"/>
    <w:rsid w:val="CE5F7267"/>
    <w:rsid w:val="D6F7CEEB"/>
    <w:rsid w:val="DBFF2FC3"/>
    <w:rsid w:val="DF9E28A1"/>
    <w:rsid w:val="DFD9B80D"/>
    <w:rsid w:val="E774D84A"/>
    <w:rsid w:val="F5662C9F"/>
    <w:rsid w:val="F676476E"/>
    <w:rsid w:val="F9ADD5D6"/>
    <w:rsid w:val="F9C32979"/>
    <w:rsid w:val="FE7B64F4"/>
    <w:rsid w:val="FF5FFC2B"/>
    <w:rsid w:val="FF9B05B1"/>
    <w:rsid w:val="FFDD393C"/>
    <w:rsid w:val="FFF85461"/>
    <w:rsid w:val="FFF8CC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7"/>
    <w:unhideWhenUsed/>
    <w:qFormat/>
    <w:uiPriority w:val="99"/>
    <w:pPr>
      <w:jc w:val="left"/>
    </w:pPr>
  </w:style>
  <w:style w:type="paragraph" w:styleId="3">
    <w:name w:val="Body Text"/>
    <w:basedOn w:val="1"/>
    <w:link w:val="12"/>
    <w:semiHidden/>
    <w:unhideWhenUsed/>
    <w:qFormat/>
    <w:uiPriority w:val="99"/>
    <w:pPr>
      <w:spacing w:after="120"/>
    </w:pPr>
  </w:style>
  <w:style w:type="paragraph" w:styleId="4">
    <w:name w:val="Date"/>
    <w:basedOn w:val="1"/>
    <w:next w:val="1"/>
    <w:link w:val="22"/>
    <w:semiHidden/>
    <w:unhideWhenUsed/>
    <w:qFormat/>
    <w:uiPriority w:val="99"/>
    <w:pPr>
      <w:ind w:left="100" w:leftChars="2500"/>
    </w:pPr>
  </w:style>
  <w:style w:type="paragraph" w:styleId="5">
    <w:name w:val="footer"/>
    <w:basedOn w:val="1"/>
    <w:link w:val="16"/>
    <w:unhideWhenUsed/>
    <w:qFormat/>
    <w:uiPriority w:val="99"/>
    <w:pPr>
      <w:tabs>
        <w:tab w:val="center" w:pos="4153"/>
        <w:tab w:val="right" w:pos="8306"/>
      </w:tabs>
      <w:snapToGrid w:val="0"/>
      <w:jc w:val="left"/>
    </w:pPr>
    <w:rPr>
      <w:sz w:val="18"/>
      <w:szCs w:val="18"/>
    </w:rPr>
  </w:style>
  <w:style w:type="paragraph" w:styleId="6">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annotation subject"/>
    <w:basedOn w:val="2"/>
    <w:next w:val="2"/>
    <w:link w:val="18"/>
    <w:semiHidden/>
    <w:unhideWhenUsed/>
    <w:qFormat/>
    <w:uiPriority w:val="99"/>
    <w:rPr>
      <w:b/>
      <w:bCs/>
    </w:rPr>
  </w:style>
  <w:style w:type="character" w:styleId="10">
    <w:name w:val="page number"/>
    <w:basedOn w:val="9"/>
    <w:semiHidden/>
    <w:unhideWhenUsed/>
    <w:qFormat/>
    <w:uiPriority w:val="99"/>
  </w:style>
  <w:style w:type="character" w:styleId="11">
    <w:name w:val="annotation reference"/>
    <w:basedOn w:val="9"/>
    <w:semiHidden/>
    <w:unhideWhenUsed/>
    <w:qFormat/>
    <w:uiPriority w:val="99"/>
    <w:rPr>
      <w:sz w:val="21"/>
      <w:szCs w:val="21"/>
    </w:rPr>
  </w:style>
  <w:style w:type="character" w:customStyle="1" w:styleId="12">
    <w:name w:val="正文文本 字符"/>
    <w:basedOn w:val="9"/>
    <w:link w:val="3"/>
    <w:semiHidden/>
    <w:qFormat/>
    <w:uiPriority w:val="99"/>
  </w:style>
  <w:style w:type="table" w:customStyle="1" w:styleId="13">
    <w:name w:val="Table Normal"/>
    <w:semiHidden/>
    <w:unhideWhenUsed/>
    <w:qFormat/>
    <w:uiPriority w:val="2"/>
    <w:pPr>
      <w:widowControl w:val="0"/>
    </w:pPr>
    <w:rPr>
      <w:sz w:val="22"/>
      <w:lang w:eastAsia="en-US"/>
    </w:rPr>
    <w:tblPr>
      <w:tblCellMar>
        <w:top w:w="0" w:type="dxa"/>
        <w:left w:w="0" w:type="dxa"/>
        <w:bottom w:w="0" w:type="dxa"/>
        <w:right w:w="0" w:type="dxa"/>
      </w:tblCellMar>
    </w:tblPr>
  </w:style>
  <w:style w:type="paragraph" w:customStyle="1" w:styleId="14">
    <w:name w:val="修订1"/>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15">
    <w:name w:val="页眉 字符"/>
    <w:basedOn w:val="9"/>
    <w:link w:val="6"/>
    <w:qFormat/>
    <w:uiPriority w:val="99"/>
    <w:rPr>
      <w:kern w:val="2"/>
      <w:sz w:val="18"/>
      <w:szCs w:val="18"/>
    </w:rPr>
  </w:style>
  <w:style w:type="character" w:customStyle="1" w:styleId="16">
    <w:name w:val="页脚 字符"/>
    <w:basedOn w:val="9"/>
    <w:link w:val="5"/>
    <w:qFormat/>
    <w:uiPriority w:val="99"/>
    <w:rPr>
      <w:kern w:val="2"/>
      <w:sz w:val="18"/>
      <w:szCs w:val="18"/>
    </w:rPr>
  </w:style>
  <w:style w:type="character" w:customStyle="1" w:styleId="17">
    <w:name w:val="批注文字 字符"/>
    <w:basedOn w:val="9"/>
    <w:link w:val="2"/>
    <w:qFormat/>
    <w:uiPriority w:val="99"/>
    <w:rPr>
      <w:kern w:val="2"/>
      <w:sz w:val="21"/>
      <w:szCs w:val="22"/>
    </w:rPr>
  </w:style>
  <w:style w:type="character" w:customStyle="1" w:styleId="18">
    <w:name w:val="批注主题 字符"/>
    <w:basedOn w:val="17"/>
    <w:link w:val="7"/>
    <w:semiHidden/>
    <w:qFormat/>
    <w:uiPriority w:val="99"/>
    <w:rPr>
      <w:b/>
      <w:bCs/>
      <w:kern w:val="2"/>
      <w:sz w:val="21"/>
      <w:szCs w:val="22"/>
    </w:rPr>
  </w:style>
  <w:style w:type="paragraph" w:customStyle="1" w:styleId="19">
    <w:name w:val="修订2"/>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20">
    <w:name w:val="修订3"/>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21">
    <w:name w:val="修订4"/>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22">
    <w:name w:val="日期 字符"/>
    <w:basedOn w:val="9"/>
    <w:link w:val="4"/>
    <w:semiHidden/>
    <w:qFormat/>
    <w:uiPriority w:val="99"/>
    <w:rPr>
      <w:kern w:val="2"/>
      <w:sz w:val="21"/>
      <w:szCs w:val="22"/>
    </w:rPr>
  </w:style>
  <w:style w:type="paragraph" w:customStyle="1" w:styleId="23">
    <w:name w:val="修订5"/>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24">
    <w:name w:val="修订6"/>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25">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黑体"/>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宋体"/>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3623</Words>
  <Characters>3695</Characters>
  <Lines>31</Lines>
  <Paragraphs>8</Paragraphs>
  <TotalTime>6</TotalTime>
  <ScaleCrop>false</ScaleCrop>
  <LinksUpToDate>false</LinksUpToDate>
  <CharactersWithSpaces>3857</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2024-04-08T00:55:00Z</dcterms:created>
  <dc:creator>Ye Shen</dc:creator>
  <cp:lastModifiedBy>Sicy</cp:lastModifiedBy>
  <dcterms:modified xsi:type="dcterms:W3CDTF">2026-10-27T07:04:22Z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C679907DE5E5484BA95FD56098D3486D_13</vt:lpwstr>
  </property>
  <property fmtid="{D5CDD505-2E9C-101B-9397-08002B2CF9AE}" pid="4" name="KSOTemplateDocerSaveRecord">
    <vt:lpwstr>eyJoZGlkIjoiNjI3YzAzOTJlNTk1YWRlMjdjYTlkYzBiYTQwMGEyZDAiLCJ1c2VySWQiOiIxOTkwMzEwMzkifQ==</vt:lpwstr>
  </property>
</Properties>
</file>