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E4" w:rsidRPr="003526F0" w:rsidRDefault="00954EFC" w:rsidP="00D46D5B">
      <w:pPr>
        <w:jc w:val="center"/>
        <w:rPr>
          <w:rFonts w:ascii="仿宋" w:eastAsia="仿宋" w:hAnsi="仿宋"/>
          <w:b/>
          <w:kern w:val="44"/>
          <w:sz w:val="32"/>
          <w:szCs w:val="32"/>
        </w:rPr>
      </w:pPr>
      <w:r w:rsidRPr="003526F0">
        <w:rPr>
          <w:rFonts w:ascii="仿宋" w:eastAsia="仿宋" w:hAnsi="仿宋" w:hint="eastAsia"/>
          <w:b/>
          <w:kern w:val="44"/>
          <w:sz w:val="32"/>
          <w:szCs w:val="32"/>
        </w:rPr>
        <w:t>项目服务内容</w:t>
      </w:r>
    </w:p>
    <w:tbl>
      <w:tblPr>
        <w:tblStyle w:val="a8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11"/>
        <w:gridCol w:w="7403"/>
      </w:tblGrid>
      <w:tr w:rsidR="003526F0" w:rsidRPr="003526F0" w:rsidTr="003526F0">
        <w:trPr>
          <w:trHeight w:val="284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jc w:val="center"/>
              <w:rPr>
                <w:b/>
                <w:sz w:val="24"/>
                <w:szCs w:val="24"/>
              </w:rPr>
            </w:pPr>
            <w:r w:rsidRPr="003526F0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jc w:val="center"/>
              <w:rPr>
                <w:b/>
                <w:sz w:val="24"/>
                <w:szCs w:val="24"/>
              </w:rPr>
            </w:pPr>
            <w:r w:rsidRPr="003526F0">
              <w:rPr>
                <w:rFonts w:hint="eastAsia"/>
                <w:b/>
                <w:sz w:val="24"/>
                <w:szCs w:val="24"/>
              </w:rPr>
              <w:t>摘要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jc w:val="center"/>
              <w:rPr>
                <w:b/>
                <w:sz w:val="24"/>
                <w:szCs w:val="24"/>
              </w:rPr>
            </w:pPr>
            <w:r w:rsidRPr="003526F0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3526F0" w:rsidRPr="003526F0" w:rsidTr="003526F0">
        <w:trPr>
          <w:trHeight w:val="801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平行设置多个经费管理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平行设置科研经费管理、科研经费管理（杭州院区）、教学经费管理、人力经费管理等，各类</w:t>
            </w:r>
            <w:bookmarkStart w:id="0" w:name="_GoBack"/>
            <w:bookmarkEnd w:id="0"/>
            <w:r w:rsidRPr="003526F0">
              <w:rPr>
                <w:rFonts w:ascii="仿宋" w:hAnsi="仿宋" w:hint="eastAsia"/>
                <w:kern w:val="2"/>
              </w:rPr>
              <w:t>权限操作独立，类别可自定义新增。</w:t>
            </w:r>
          </w:p>
        </w:tc>
      </w:tr>
      <w:tr w:rsidR="003526F0" w:rsidRPr="003526F0" w:rsidTr="003526F0">
        <w:trPr>
          <w:trHeight w:val="778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系统执行流程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</w:rPr>
              <w:t>由经费管理部门经手人操作、负责人审核，生成凭证</w:t>
            </w:r>
            <w:r w:rsidRPr="003526F0">
              <w:rPr>
                <w:rFonts w:ascii="仿宋" w:hAnsi="仿宋" w:hint="eastAsia"/>
                <w:kern w:val="2"/>
                <w:lang w:val="en-US"/>
              </w:rPr>
              <w:t>PDF（体现签名及操作内容）后，</w:t>
            </w:r>
            <w:r w:rsidRPr="003526F0">
              <w:rPr>
                <w:rFonts w:ascii="仿宋" w:hAnsi="仿宋" w:hint="eastAsia"/>
                <w:kern w:val="2"/>
              </w:rPr>
              <w:t>进入正式经费管理系统并与金</w:t>
            </w:r>
            <w:proofErr w:type="gramStart"/>
            <w:r w:rsidRPr="003526F0">
              <w:rPr>
                <w:rFonts w:ascii="仿宋" w:hAnsi="仿宋" w:hint="eastAsia"/>
                <w:kern w:val="2"/>
              </w:rPr>
              <w:t>碟系统</w:t>
            </w:r>
            <w:proofErr w:type="gramEnd"/>
            <w:r w:rsidRPr="003526F0">
              <w:rPr>
                <w:rFonts w:ascii="仿宋" w:hAnsi="仿宋" w:hint="eastAsia"/>
                <w:kern w:val="2"/>
              </w:rPr>
              <w:t>数据交互。</w:t>
            </w:r>
          </w:p>
        </w:tc>
      </w:tr>
      <w:tr w:rsidR="003526F0" w:rsidRPr="003526F0" w:rsidTr="003526F0">
        <w:trPr>
          <w:trHeight w:val="766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经费功能管理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经费主管部门设拨入、</w:t>
            </w:r>
            <w:proofErr w:type="gramStart"/>
            <w:r w:rsidRPr="003526F0">
              <w:rPr>
                <w:rFonts w:ascii="仿宋" w:hAnsi="仿宋" w:hint="eastAsia"/>
                <w:kern w:val="2"/>
              </w:rPr>
              <w:t>划拔</w:t>
            </w:r>
            <w:proofErr w:type="gramEnd"/>
            <w:r w:rsidRPr="003526F0">
              <w:rPr>
                <w:rFonts w:ascii="仿宋" w:hAnsi="仿宋" w:hint="eastAsia"/>
                <w:kern w:val="2"/>
              </w:rPr>
              <w:t>、冻结、终止等操作功能，各功能自定义新增。</w:t>
            </w:r>
          </w:p>
        </w:tc>
      </w:tr>
      <w:tr w:rsidR="003526F0" w:rsidRPr="003526F0" w:rsidTr="003526F0">
        <w:trPr>
          <w:trHeight w:val="1356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经费详情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基础信息（财务编号、项目编号、项目名称、负责人、负责科室、起始时间、终止时间，资金来源等信息）、计划金额、拨入金额、期初金额、支出金额、冻结金额、结余金额、可用金额等，类别可自定义新增。</w:t>
            </w:r>
          </w:p>
        </w:tc>
      </w:tr>
      <w:tr w:rsidR="003526F0" w:rsidRPr="003526F0" w:rsidTr="003526F0">
        <w:trPr>
          <w:trHeight w:val="1211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类别管理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经费类别分专项经费、配套经费、间接经费、院内课题经费等，可自定义新增修改，包括类别下设科目管理体系；预算科目按医院相关要求设置。</w:t>
            </w:r>
          </w:p>
        </w:tc>
      </w:tr>
      <w:tr w:rsidR="003526F0" w:rsidRPr="003526F0" w:rsidTr="003526F0">
        <w:trPr>
          <w:trHeight w:val="788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6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权限管理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各课题负责人可以通过系统直接授权其他人等同功能；科技处可代为授权。</w:t>
            </w:r>
          </w:p>
        </w:tc>
      </w:tr>
      <w:tr w:rsidR="003526F0" w:rsidRPr="003526F0" w:rsidTr="003526F0">
        <w:trPr>
          <w:trHeight w:val="800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使用期限管理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分延续经费和非延续经费，延续经费根据不同有效时间使用管理，非延续科研经费主要针对财政类课题。</w:t>
            </w:r>
          </w:p>
        </w:tc>
      </w:tr>
      <w:tr w:rsidR="003526F0" w:rsidRPr="003526F0" w:rsidTr="003526F0">
        <w:trPr>
          <w:trHeight w:val="799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8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经费拨入管理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科研课题经费拨入经费时候，可以设置财务拨入建册，科技处审批通过后生效（主要指财政经费）。</w:t>
            </w:r>
          </w:p>
        </w:tc>
      </w:tr>
      <w:tr w:rsidR="003526F0" w:rsidRPr="003526F0" w:rsidTr="003526F0">
        <w:trPr>
          <w:trHeight w:val="1367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9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报销执行管理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通过和本院报销系统对接，科研课题的使用明细和科研预算指标直接控制，超出金额严禁使用；对于不同的预算科目，可设置是否允许超支、超支范围控制（百分比）、冻结单项预算科目（可填写冻结原因）等功能。</w:t>
            </w:r>
          </w:p>
        </w:tc>
      </w:tr>
      <w:tr w:rsidR="003526F0" w:rsidRPr="003526F0" w:rsidTr="003526F0">
        <w:trPr>
          <w:trHeight w:val="1130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10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科研报销预算指标管理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科研经费预算指标对接到医院的报销体系内，方便医院内部报销时候看到课题的可用余额、课题科目的可用余额，流程中顺便冻结报销金额。</w:t>
            </w:r>
          </w:p>
        </w:tc>
      </w:tr>
      <w:tr w:rsidR="003526F0" w:rsidRPr="003526F0" w:rsidTr="003526F0">
        <w:trPr>
          <w:trHeight w:val="802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11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3526F0">
            <w:pPr>
              <w:pStyle w:val="a7"/>
              <w:widowControl/>
              <w:tabs>
                <w:tab w:val="left" w:pos="420"/>
                <w:tab w:val="left" w:pos="743"/>
              </w:tabs>
              <w:spacing w:before="2"/>
              <w:ind w:rightChars="92" w:right="202" w:firstLineChars="0" w:firstLine="0"/>
              <w:textAlignment w:val="center"/>
              <w:rPr>
                <w:rFonts w:ascii="仿宋" w:eastAsia="仿宋" w:hAnsi="仿宋"/>
                <w:spacing w:val="8"/>
                <w:sz w:val="24"/>
                <w:szCs w:val="24"/>
                <w:lang w:val="zh-CN"/>
              </w:rPr>
            </w:pPr>
            <w:r w:rsidRPr="003526F0">
              <w:rPr>
                <w:rFonts w:ascii="仿宋" w:eastAsia="仿宋" w:hAnsi="仿宋" w:hint="eastAsia"/>
                <w:spacing w:val="8"/>
                <w:sz w:val="24"/>
                <w:szCs w:val="24"/>
                <w:lang w:val="zh-CN"/>
              </w:rPr>
              <w:t>经费公文公告管理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系统带有公文公告，信息可以对接给金碟、OA等协同办公软件厂商发布，方便全院知晓科研经费管理上的变化。</w:t>
            </w:r>
          </w:p>
        </w:tc>
      </w:tr>
      <w:tr w:rsidR="003526F0" w:rsidRPr="003526F0" w:rsidTr="003526F0">
        <w:trPr>
          <w:trHeight w:val="1090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12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报表管理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可导出科研经费报销明细报表、科研经费预决算报表等等，不限制报表；课题负责人在金碟可见相关报表及经费详情。</w:t>
            </w:r>
          </w:p>
        </w:tc>
      </w:tr>
      <w:tr w:rsidR="003526F0" w:rsidRPr="003526F0" w:rsidTr="003526F0">
        <w:trPr>
          <w:trHeight w:val="1084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lastRenderedPageBreak/>
              <w:t>13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期初数据管理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系统保留科研课题的期</w:t>
            </w:r>
            <w:proofErr w:type="gramStart"/>
            <w:r w:rsidRPr="003526F0">
              <w:rPr>
                <w:rFonts w:ascii="仿宋" w:hAnsi="仿宋" w:hint="eastAsia"/>
                <w:kern w:val="2"/>
              </w:rPr>
              <w:t>初管理</w:t>
            </w:r>
            <w:proofErr w:type="gramEnd"/>
            <w:r w:rsidRPr="003526F0">
              <w:rPr>
                <w:rFonts w:ascii="仿宋" w:hAnsi="仿宋" w:hint="eastAsia"/>
                <w:kern w:val="2"/>
              </w:rPr>
              <w:t>功能，历史项目可用期初初始化工作。系统支持课题期</w:t>
            </w:r>
            <w:proofErr w:type="gramStart"/>
            <w:r w:rsidRPr="003526F0">
              <w:rPr>
                <w:rFonts w:ascii="仿宋" w:hAnsi="仿宋" w:hint="eastAsia"/>
                <w:kern w:val="2"/>
              </w:rPr>
              <w:t>初数据</w:t>
            </w:r>
            <w:proofErr w:type="gramEnd"/>
            <w:r w:rsidRPr="003526F0">
              <w:rPr>
                <w:rFonts w:ascii="仿宋" w:hAnsi="仿宋" w:hint="eastAsia"/>
                <w:kern w:val="2"/>
              </w:rPr>
              <w:t>的API接入，同时也接受期初课题信息的EXCEL导入。</w:t>
            </w:r>
          </w:p>
        </w:tc>
      </w:tr>
      <w:tr w:rsidR="003526F0" w:rsidRPr="003526F0" w:rsidTr="003526F0">
        <w:trPr>
          <w:trHeight w:val="1339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14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数据交互（业务系统）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将业务数据和基础数据开放数据库视图、存储过程给报销系统，报销制</w:t>
            </w:r>
            <w:proofErr w:type="gramStart"/>
            <w:r w:rsidRPr="003526F0">
              <w:rPr>
                <w:rFonts w:ascii="仿宋" w:hAnsi="仿宋" w:hint="eastAsia"/>
                <w:kern w:val="2"/>
              </w:rPr>
              <w:t>单时候</w:t>
            </w:r>
            <w:proofErr w:type="gramEnd"/>
            <w:r w:rsidRPr="003526F0">
              <w:rPr>
                <w:rFonts w:ascii="仿宋" w:hAnsi="仿宋" w:hint="eastAsia"/>
                <w:kern w:val="2"/>
              </w:rPr>
              <w:t>可以选择科研经费项目，以及可用余额，并提交时候，传回数据包调用接口，返回结果指令集，控制科研经费超额使用；业务系统报销结束返回结果给科研经费系统，并携带凭证号码一并返回。</w:t>
            </w:r>
          </w:p>
        </w:tc>
      </w:tr>
      <w:tr w:rsidR="003526F0" w:rsidRPr="003526F0" w:rsidTr="003526F0">
        <w:trPr>
          <w:trHeight w:val="776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15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数据交互（基础档案）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科研经费系统的部门人员基础档案根据信息中心要求，可同步信息中心也可同步报销系统的人员。</w:t>
            </w:r>
          </w:p>
        </w:tc>
      </w:tr>
      <w:tr w:rsidR="003526F0" w:rsidRPr="003526F0" w:rsidTr="003526F0">
        <w:trPr>
          <w:trHeight w:val="834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16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报销明细和凭证联动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rPr>
                <w:rFonts w:ascii="仿宋" w:hAnsi="仿宋"/>
                <w:kern w:val="2"/>
              </w:rPr>
            </w:pPr>
            <w:r w:rsidRPr="003526F0">
              <w:rPr>
                <w:rFonts w:ascii="仿宋" w:hAnsi="仿宋" w:hint="eastAsia"/>
                <w:kern w:val="2"/>
              </w:rPr>
              <w:t>科研课题的报销明细和凭证联动：报销明细即可自动生成凭证，也可手工制凭证后被关联到报销明细中。</w:t>
            </w:r>
          </w:p>
        </w:tc>
      </w:tr>
      <w:tr w:rsidR="003526F0" w:rsidRPr="003526F0" w:rsidTr="003526F0">
        <w:trPr>
          <w:trHeight w:val="835"/>
        </w:trPr>
        <w:tc>
          <w:tcPr>
            <w:tcW w:w="851" w:type="dxa"/>
            <w:vAlign w:val="center"/>
          </w:tcPr>
          <w:p w:rsidR="003526F0" w:rsidRPr="003526F0" w:rsidRDefault="003526F0" w:rsidP="00842BE3">
            <w:pPr>
              <w:pStyle w:val="2"/>
              <w:snapToGrid w:val="0"/>
              <w:spacing w:line="18" w:lineRule="atLeast"/>
              <w:ind w:firstLineChars="0" w:firstLine="0"/>
              <w:jc w:val="center"/>
              <w:rPr>
                <w:rFonts w:ascii="仿宋" w:hAnsi="仿宋"/>
                <w:kern w:val="2"/>
                <w:lang w:val="en-US"/>
              </w:rPr>
            </w:pPr>
            <w:r w:rsidRPr="003526F0">
              <w:rPr>
                <w:rFonts w:ascii="仿宋" w:hAnsi="仿宋" w:hint="eastAsia"/>
                <w:kern w:val="2"/>
                <w:lang w:val="en-US"/>
              </w:rPr>
              <w:t>17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3526F0" w:rsidRPr="003526F0" w:rsidRDefault="003526F0" w:rsidP="003526F0">
            <w:pPr>
              <w:pStyle w:val="a7"/>
              <w:widowControl/>
              <w:tabs>
                <w:tab w:val="left" w:pos="420"/>
                <w:tab w:val="left" w:pos="743"/>
              </w:tabs>
              <w:spacing w:before="2"/>
              <w:ind w:rightChars="92" w:right="202" w:firstLineChars="0" w:firstLine="0"/>
              <w:textAlignment w:val="center"/>
              <w:rPr>
                <w:rFonts w:ascii="仿宋" w:eastAsia="仿宋" w:hAnsi="仿宋"/>
                <w:spacing w:val="8"/>
                <w:sz w:val="24"/>
                <w:szCs w:val="24"/>
                <w:lang w:val="zh-CN"/>
              </w:rPr>
            </w:pPr>
            <w:r w:rsidRPr="003526F0">
              <w:rPr>
                <w:rFonts w:ascii="仿宋" w:eastAsia="仿宋" w:hAnsi="仿宋" w:hint="eastAsia"/>
                <w:spacing w:val="8"/>
                <w:sz w:val="24"/>
                <w:szCs w:val="24"/>
                <w:lang w:val="zh-CN"/>
              </w:rPr>
              <w:t>报销</w:t>
            </w:r>
            <w:proofErr w:type="gramStart"/>
            <w:r w:rsidRPr="003526F0">
              <w:rPr>
                <w:rFonts w:ascii="仿宋" w:eastAsia="仿宋" w:hAnsi="仿宋" w:hint="eastAsia"/>
                <w:spacing w:val="8"/>
                <w:sz w:val="24"/>
                <w:szCs w:val="24"/>
                <w:lang w:val="zh-CN"/>
              </w:rPr>
              <w:t>明细银企直</w:t>
            </w:r>
            <w:proofErr w:type="gramEnd"/>
            <w:r w:rsidRPr="003526F0">
              <w:rPr>
                <w:rFonts w:ascii="仿宋" w:eastAsia="仿宋" w:hAnsi="仿宋" w:hint="eastAsia"/>
                <w:spacing w:val="8"/>
                <w:sz w:val="24"/>
                <w:szCs w:val="24"/>
                <w:lang w:val="zh-CN"/>
              </w:rPr>
              <w:t>连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3526F0" w:rsidRPr="003526F0" w:rsidRDefault="003526F0" w:rsidP="003526F0">
            <w:pPr>
              <w:pStyle w:val="a7"/>
              <w:widowControl/>
              <w:tabs>
                <w:tab w:val="left" w:pos="420"/>
                <w:tab w:val="left" w:pos="743"/>
              </w:tabs>
              <w:spacing w:before="2"/>
              <w:ind w:rightChars="92" w:right="202" w:firstLineChars="0" w:firstLine="0"/>
              <w:textAlignment w:val="center"/>
              <w:rPr>
                <w:rFonts w:ascii="仿宋" w:eastAsia="仿宋" w:hAnsi="仿宋"/>
                <w:spacing w:val="8"/>
                <w:sz w:val="24"/>
                <w:szCs w:val="24"/>
                <w:lang w:val="zh-CN"/>
              </w:rPr>
            </w:pPr>
            <w:r w:rsidRPr="003526F0">
              <w:rPr>
                <w:rFonts w:ascii="仿宋" w:eastAsia="仿宋" w:hAnsi="仿宋" w:hint="eastAsia"/>
                <w:spacing w:val="8"/>
                <w:sz w:val="24"/>
                <w:szCs w:val="24"/>
                <w:lang w:val="zh-CN"/>
              </w:rPr>
              <w:t>科研经费的报销明细可直接启用</w:t>
            </w:r>
            <w:proofErr w:type="gramStart"/>
            <w:r w:rsidRPr="003526F0">
              <w:rPr>
                <w:rFonts w:ascii="仿宋" w:eastAsia="仿宋" w:hAnsi="仿宋" w:hint="eastAsia"/>
                <w:spacing w:val="8"/>
                <w:sz w:val="24"/>
                <w:szCs w:val="24"/>
                <w:lang w:val="zh-CN"/>
              </w:rPr>
              <w:t>银企直连</w:t>
            </w:r>
            <w:proofErr w:type="gramEnd"/>
            <w:r w:rsidRPr="003526F0">
              <w:rPr>
                <w:rFonts w:ascii="仿宋" w:eastAsia="仿宋" w:hAnsi="仿宋" w:hint="eastAsia"/>
                <w:spacing w:val="8"/>
                <w:sz w:val="24"/>
                <w:szCs w:val="24"/>
                <w:lang w:val="zh-CN"/>
              </w:rPr>
              <w:t>功能，将报销的金额自动打款到报销人账户，并且回流银行的电子回单。</w:t>
            </w:r>
          </w:p>
        </w:tc>
      </w:tr>
    </w:tbl>
    <w:p w:rsidR="00A33871" w:rsidRPr="003526F0" w:rsidRDefault="00A33871" w:rsidP="003526F0">
      <w:pPr>
        <w:pStyle w:val="a7"/>
        <w:widowControl/>
        <w:tabs>
          <w:tab w:val="left" w:pos="420"/>
          <w:tab w:val="left" w:pos="743"/>
        </w:tabs>
        <w:snapToGrid w:val="0"/>
        <w:spacing w:before="2"/>
        <w:ind w:rightChars="92" w:right="202" w:firstLineChars="0" w:firstLine="0"/>
        <w:textAlignment w:val="center"/>
        <w:rPr>
          <w:rFonts w:ascii="仿宋" w:eastAsia="仿宋" w:hAnsi="仿宋"/>
          <w:kern w:val="44"/>
          <w:sz w:val="24"/>
          <w:szCs w:val="24"/>
        </w:rPr>
      </w:pPr>
    </w:p>
    <w:sectPr w:rsidR="00A33871" w:rsidRPr="003526F0" w:rsidSect="003526F0">
      <w:pgSz w:w="11906" w:h="16838"/>
      <w:pgMar w:top="1440" w:right="991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E7" w:rsidRDefault="007C24E7" w:rsidP="00AE1153">
      <w:pPr>
        <w:spacing w:after="0" w:line="240" w:lineRule="auto"/>
      </w:pPr>
      <w:r>
        <w:separator/>
      </w:r>
    </w:p>
  </w:endnote>
  <w:endnote w:type="continuationSeparator" w:id="0">
    <w:p w:rsidR="007C24E7" w:rsidRDefault="007C24E7" w:rsidP="00AE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E7" w:rsidRDefault="007C24E7" w:rsidP="00AE1153">
      <w:pPr>
        <w:spacing w:after="0" w:line="240" w:lineRule="auto"/>
      </w:pPr>
      <w:r>
        <w:separator/>
      </w:r>
    </w:p>
  </w:footnote>
  <w:footnote w:type="continuationSeparator" w:id="0">
    <w:p w:rsidR="007C24E7" w:rsidRDefault="007C24E7" w:rsidP="00AE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592B"/>
    <w:multiLevelType w:val="hybridMultilevel"/>
    <w:tmpl w:val="03B467B8"/>
    <w:lvl w:ilvl="0" w:tplc="ABD82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681936"/>
    <w:multiLevelType w:val="singleLevel"/>
    <w:tmpl w:val="5C68193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EE4"/>
    <w:rsid w:val="00017773"/>
    <w:rsid w:val="000202B0"/>
    <w:rsid w:val="00063143"/>
    <w:rsid w:val="000720E5"/>
    <w:rsid w:val="000E4F0B"/>
    <w:rsid w:val="00157F3E"/>
    <w:rsid w:val="00163241"/>
    <w:rsid w:val="00227FD3"/>
    <w:rsid w:val="002C779E"/>
    <w:rsid w:val="002F52F9"/>
    <w:rsid w:val="003076CF"/>
    <w:rsid w:val="003317A6"/>
    <w:rsid w:val="00337520"/>
    <w:rsid w:val="003526F0"/>
    <w:rsid w:val="00355996"/>
    <w:rsid w:val="00374DB5"/>
    <w:rsid w:val="003E525C"/>
    <w:rsid w:val="004C4166"/>
    <w:rsid w:val="004C7128"/>
    <w:rsid w:val="00514508"/>
    <w:rsid w:val="005272D6"/>
    <w:rsid w:val="005363B5"/>
    <w:rsid w:val="00571105"/>
    <w:rsid w:val="00574C37"/>
    <w:rsid w:val="005B1518"/>
    <w:rsid w:val="005B5D13"/>
    <w:rsid w:val="005C5AE7"/>
    <w:rsid w:val="00613BF1"/>
    <w:rsid w:val="00633AD4"/>
    <w:rsid w:val="00665191"/>
    <w:rsid w:val="006A5BD0"/>
    <w:rsid w:val="006E203E"/>
    <w:rsid w:val="00703CB0"/>
    <w:rsid w:val="00720833"/>
    <w:rsid w:val="00731E00"/>
    <w:rsid w:val="0073799D"/>
    <w:rsid w:val="007553F3"/>
    <w:rsid w:val="00774CCA"/>
    <w:rsid w:val="00785DD4"/>
    <w:rsid w:val="007C24E7"/>
    <w:rsid w:val="007F27AF"/>
    <w:rsid w:val="008012DE"/>
    <w:rsid w:val="008913FD"/>
    <w:rsid w:val="008E4069"/>
    <w:rsid w:val="00904E39"/>
    <w:rsid w:val="009359DE"/>
    <w:rsid w:val="0095363F"/>
    <w:rsid w:val="00954EFC"/>
    <w:rsid w:val="0096237D"/>
    <w:rsid w:val="009A15B2"/>
    <w:rsid w:val="009F1289"/>
    <w:rsid w:val="00A200AF"/>
    <w:rsid w:val="00A33871"/>
    <w:rsid w:val="00A40431"/>
    <w:rsid w:val="00A45B11"/>
    <w:rsid w:val="00A867CE"/>
    <w:rsid w:val="00AC202F"/>
    <w:rsid w:val="00AE1153"/>
    <w:rsid w:val="00B21C6E"/>
    <w:rsid w:val="00B34DC1"/>
    <w:rsid w:val="00B8289E"/>
    <w:rsid w:val="00BF1FAB"/>
    <w:rsid w:val="00BF3E65"/>
    <w:rsid w:val="00C637C7"/>
    <w:rsid w:val="00CE676A"/>
    <w:rsid w:val="00CF37BB"/>
    <w:rsid w:val="00D31F84"/>
    <w:rsid w:val="00D46D5B"/>
    <w:rsid w:val="00D63860"/>
    <w:rsid w:val="00DB5D70"/>
    <w:rsid w:val="00E17798"/>
    <w:rsid w:val="00E3092A"/>
    <w:rsid w:val="00E55A87"/>
    <w:rsid w:val="00E64FA4"/>
    <w:rsid w:val="00E66DC0"/>
    <w:rsid w:val="00E96296"/>
    <w:rsid w:val="00F17565"/>
    <w:rsid w:val="00F3562D"/>
    <w:rsid w:val="00F42784"/>
    <w:rsid w:val="00F42EE4"/>
    <w:rsid w:val="00F83063"/>
    <w:rsid w:val="00FB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semiHidden="0" w:uiPriority="99" w:unhideWhenUsed="0"/>
    <w:lsdException w:name="Table Web 1" w:uiPriority="99"/>
    <w:lsdException w:name="Table Web 2" w:uiPriority="99"/>
    <w:lsdException w:name="Table Web 3" w:semiHidden="0" w:uiPriority="99" w:unhideWhenUsed="0"/>
    <w:lsdException w:name="Table Grid" w:semiHidden="0" w:uiPriority="59" w:unhideWhenUsed="0" w:qFormat="1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3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1105"/>
    <w:rPr>
      <w:b/>
      <w:bCs w:val="0"/>
    </w:rPr>
  </w:style>
  <w:style w:type="paragraph" w:styleId="a4">
    <w:name w:val="header"/>
    <w:basedOn w:val="a"/>
    <w:link w:val="Char"/>
    <w:unhideWhenUsed/>
    <w:rsid w:val="00AE1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1153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nhideWhenUsed/>
    <w:rsid w:val="00AE115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1153"/>
    <w:rPr>
      <w:rFonts w:ascii="Calibri" w:hAnsi="Calibri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2F52F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F52F9"/>
    <w:rPr>
      <w:rFonts w:ascii="Calibri" w:hAnsi="Calibri"/>
      <w:sz w:val="18"/>
      <w:szCs w:val="18"/>
    </w:rPr>
  </w:style>
  <w:style w:type="paragraph" w:styleId="a7">
    <w:name w:val="List Paragraph"/>
    <w:basedOn w:val="a"/>
    <w:uiPriority w:val="34"/>
    <w:qFormat/>
    <w:rsid w:val="00A33871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table" w:styleId="a8">
    <w:name w:val="Table Grid"/>
    <w:basedOn w:val="a1"/>
    <w:uiPriority w:val="59"/>
    <w:qFormat/>
    <w:rsid w:val="00352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link w:val="2Char"/>
    <w:qFormat/>
    <w:rsid w:val="003526F0"/>
    <w:pPr>
      <w:spacing w:after="0" w:line="360" w:lineRule="auto"/>
      <w:ind w:firstLineChars="200" w:firstLine="480"/>
      <w:jc w:val="both"/>
    </w:pPr>
    <w:rPr>
      <w:rFonts w:ascii="宋体" w:eastAsia="仿宋" w:hAnsi="宋体"/>
      <w:spacing w:val="8"/>
      <w:sz w:val="24"/>
      <w:szCs w:val="24"/>
      <w:lang w:val="zh-CN"/>
    </w:rPr>
  </w:style>
  <w:style w:type="character" w:customStyle="1" w:styleId="2Char">
    <w:name w:val="样式2 Char"/>
    <w:link w:val="2"/>
    <w:qFormat/>
    <w:rsid w:val="003526F0"/>
    <w:rPr>
      <w:rFonts w:ascii="宋体" w:eastAsia="仿宋" w:hAnsi="宋体"/>
      <w:spacing w:val="8"/>
      <w:sz w:val="24"/>
      <w:szCs w:val="2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185</Words>
  <Characters>1057</Characters>
  <Application>Microsoft Office Word</Application>
  <DocSecurity>0</DocSecurity>
  <Lines>8</Lines>
  <Paragraphs>2</Paragraphs>
  <ScaleCrop>false</ScaleCrop>
  <Company>howlink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1、服务器，数量1台，技术指标不低于如下：</dc:title>
  <dc:creator>jasen</dc:creator>
  <cp:lastModifiedBy>user</cp:lastModifiedBy>
  <cp:revision>59</cp:revision>
  <cp:lastPrinted>2017-10-25T02:04:00Z</cp:lastPrinted>
  <dcterms:created xsi:type="dcterms:W3CDTF">2017-06-07T02:18:00Z</dcterms:created>
  <dcterms:modified xsi:type="dcterms:W3CDTF">2020-11-02T08:12:00Z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