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360" w:hanging="358" w:hangingChars="128"/>
        <w:jc w:val="center"/>
        <w:rPr>
          <w:rFonts w:hint="eastAsia" w:ascii="Times New Roman" w:hAnsi="Times New Roman" w:eastAsia="黑体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/>
          <w:b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left="360" w:hanging="358" w:hangingChars="128"/>
        <w:jc w:val="center"/>
        <w:rPr>
          <w:rFonts w:ascii="Times New Roman" w:hAnsi="Times New Roman" w:eastAsia="黑体"/>
          <w:b/>
          <w:sz w:val="28"/>
          <w:szCs w:val="28"/>
        </w:rPr>
      </w:pPr>
    </w:p>
    <w:p>
      <w:pPr>
        <w:spacing w:line="360" w:lineRule="auto"/>
        <w:ind w:left="360" w:hanging="358" w:hangingChars="128"/>
        <w:jc w:val="center"/>
        <w:rPr>
          <w:rFonts w:ascii="Times New Roman" w:hAnsi="Times New Roman" w:eastAsia="黑体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before="468" w:beforeLines="150" w:after="312" w:afterLines="100" w:line="560" w:lineRule="exact"/>
        <w:jc w:val="center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温医大教〔20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96</w:t>
      </w:r>
      <w:r>
        <w:rPr>
          <w:rFonts w:hint="eastAsia" w:ascii="Times New Roman" w:hAnsi="Times New Roman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温州医科大学关于开展2022年度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jc w:val="center"/>
        <w:textAlignment w:val="auto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“本科教学质量优秀奖”评选的通知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firstLine="480"/>
        <w:jc w:val="center"/>
        <w:textAlignment w:val="auto"/>
        <w:rPr>
          <w:rFonts w:ascii="Times New Roman" w:hAnsi="Times New Roman" w:eastAsia="仿宋" w:cs="宋体"/>
          <w:b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各学院（部）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贯彻中共中央、国务院《新时代教育评价改革总体方案》，落实立德树人根本任务，充分调动全校广大教师教育教学的积极性、主动性和创造性，营造尊师重教、爱岗敬业、争先创优的良好氛围，不断提升教育教学水平和人才培养质量。结合《温州医科大学“本科教学质量优秀奖”遴选实施方案（试行）》（</w:t>
      </w:r>
      <w:r>
        <w:rPr>
          <w:rFonts w:hint="eastAsia" w:ascii="Times New Roman" w:hAnsi="Times New Roman" w:eastAsia="仿宋_GB2312" w:cs="Times New Roman"/>
          <w:bCs w:val="0"/>
          <w:sz w:val="32"/>
          <w:szCs w:val="32"/>
          <w:lang w:eastAsia="zh-CN"/>
        </w:rPr>
        <w:t>温医大</w:t>
      </w:r>
      <w:r>
        <w:rPr>
          <w:rFonts w:hint="default" w:ascii="Times New Roman" w:hAnsi="Times New Roman" w:eastAsia="仿宋_GB2312" w:cs="Times New Roman"/>
          <w:bCs w:val="0"/>
          <w:sz w:val="32"/>
          <w:szCs w:val="32"/>
          <w:lang w:eastAsia="zh-CN"/>
        </w:rPr>
        <w:t>〔</w:t>
      </w:r>
      <w:r>
        <w:rPr>
          <w:rFonts w:hint="default" w:ascii="Times New Roman" w:hAnsi="Times New Roman" w:eastAsia="仿宋_GB2312" w:cs="Times New Roman"/>
          <w:bCs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 w:val="0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bCs w:val="0"/>
          <w:sz w:val="32"/>
          <w:szCs w:val="32"/>
          <w:lang w:val="en-US" w:eastAsia="zh-CN"/>
        </w:rPr>
        <w:t>62</w:t>
      </w:r>
      <w:r>
        <w:rPr>
          <w:rFonts w:hint="default" w:ascii="Times New Roman" w:hAnsi="Times New Roman" w:eastAsia="仿宋_GB2312" w:cs="Times New Roman"/>
          <w:bCs w:val="0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）要求，决定开展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2022年度“本科教学质量优秀奖”评选工作，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现将有关事项通知如下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Style w:val="12"/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Style w:val="12"/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奖项设置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Style w:val="12"/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奖项等级分为特等奖、一等奖和二等奖。今年评选特等奖不超过5人、一等奖不超过15人、二等奖不超过30人。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Style w:val="12"/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特等奖奖励金额5万元/人，一等奖奖励金额3万元/人，二等奖奖励金额1万元/人。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Style w:val="12"/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Style w:val="12"/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评选名额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特等奖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各学院（部）推荐特等奖不超过1人，由学校统一组织评审。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一等奖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各学院（部）推荐一等奖1-2人，由学校统一组织评审。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二等奖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根据各学院（部）近3年承担的教学任务量、课程门数、授课教师人数等，结合教学建设、改革项目和年度学院教学业绩考核等情况，统筹分配评选名额至各学院（部）（附件2）。各学院按照设定名额进行评选，报学校备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Style w:val="12"/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Style w:val="12"/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评选对象与条件 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评选对象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面向从事本科教学工作的一线教师（不含处级及以上人员）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（二）评选条件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忠诚于教育事业，模范遵守师德师风规范和教学纪律，关爱学生，严谨治学，为人师表，近3年无教学事故、无师德失范行为，积极开展课程思政建设。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积极承担并圆满完成教学任务，工作量饱满。参评本科教学质量优秀奖的教师应讲授1门本科生课程，原则上每学年教学工作量不低于32学时，其中临床医学类教师不低于16学时。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近3年课堂教学质量评价位列所在学院（部）前30%（数据由学校教师发展中心提供）。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潜心一线教学，推进教学创新发展。近3年在人才培养、专业建设、课程建设、教材建设、教学改革、教学比赛、教师荣誉等方面取得突出成绩。其中特等奖申报者至少满足以下3项条件，一等奖申报者至少满足以下2项条件，二等奖申报者至少满足以下1项条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（1）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省级及以上一流专业负责人。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（2）主持省级及以上一流课程建设项目，包括5类一流课程、“互联网+教学”示范课堂、课程思政示范课程等。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（3）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主持省级及以上教学改革、课程思政教学改革课题等教学研究项目或在核心期刊（以南大核心和北大核心公布的最新期刊目录为准）上以第一作者或通讯作者发表教学论文1篇。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4）以负责人身份获得省级及以上基础学科拔尖学生培养基地、现代产业学院、实验教学基地或中心、实践教学基地或中心、校外实践教育基地、临床教学培训示范中心、虚拟仿真实验教学示范中心、产教融合示范基地、产教融合联盟等建设项目立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（5）作为第一指导老师指导学生获得省级及以上A、B类学科竞赛等奖项。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（6）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以主编或者副主编身份编写国家级出版社出版教材（含纸质与数字，不含教辅用书）。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以负责人身份获得校级一等奖及以上教学成果奖项目。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以负责人身份入选校级“公开示范课”，或校级教学比赛获得一等奖及以上奖项，或省级教学比赛获得二等级及以上奖项。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以负责人身份获得校级及以上基层教学组织、教学创新团队等荣誉，个人获得校级及以上教学名师、教坛新秀等称号。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从教18年以上，在教学团队中具有较高声誉，支持教学团队、基层教学组织建设或担任校级青年教师导师。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Style w:val="12"/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Style w:val="12"/>
          <w:rFonts w:hint="eastAsia" w:ascii="Times New Roman" w:hAnsi="Times New Roman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四、评选流程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学院（部）推荐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bidi w:val="0"/>
        <w:spacing w:line="560" w:lineRule="exact"/>
        <w:ind w:firstLine="620" w:firstLineChars="200"/>
        <w:jc w:val="left"/>
        <w:textAlignment w:val="auto"/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  <w:t>项目通过学校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“教育教学项目评</w:t>
      </w:r>
      <w:bookmarkStart w:id="1" w:name="_GoBack"/>
      <w:bookmarkEnd w:id="1"/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审平台”</w:t>
      </w:r>
      <w:r>
        <w:rPr>
          <w:rFonts w:hint="eastAsia" w:ascii="Times New Roman" w:hAnsi="Times New Roman" w:cs="仿宋_GB2312"/>
          <w:color w:val="auto"/>
          <w:sz w:val="31"/>
          <w:szCs w:val="31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</w:rPr>
        <w:instrText xml:space="preserve"> HYPERLINK "http://jwc.kypt.chaoxing.com/task" </w:instrTex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</w:rPr>
        <w:fldChar w:fldCharType="separate"/>
      </w:r>
      <w:r>
        <w:rPr>
          <w:rStyle w:val="13"/>
          <w:rFonts w:hint="default" w:ascii="Times New Roman" w:hAnsi="Times New Roman" w:eastAsia="仿宋_GB2312" w:cs="Times New Roman"/>
          <w:color w:val="auto"/>
          <w:sz w:val="31"/>
          <w:szCs w:val="31"/>
        </w:rPr>
        <w:t>http://jwc.kypt.chaoxing.com/</w:t>
      </w:r>
      <w:r>
        <w:rPr>
          <w:rFonts w:hint="default" w:ascii="Times New Roman" w:hAnsi="Times New Roman" w:eastAsia="仿宋_GB2312" w:cs="Times New Roman"/>
          <w:color w:val="auto"/>
          <w:sz w:val="31"/>
          <w:szCs w:val="31"/>
        </w:rPr>
        <w:fldChar w:fldCharType="end"/>
      </w:r>
      <w:r>
        <w:rPr>
          <w:rFonts w:hint="eastAsia" w:ascii="Times New Roman" w:hAnsi="Times New Roman" w:cs="仿宋_GB2312"/>
          <w:color w:val="auto"/>
          <w:sz w:val="31"/>
          <w:szCs w:val="31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  <w:t>进行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</w:rPr>
        <w:t>申报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  <w:t>。申报人填写《申报书》（附件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1"/>
          <w:szCs w:val="31"/>
          <w:lang w:eastAsia="zh-CN"/>
        </w:rPr>
        <w:t>），并在系统上找到对应申报奖项进行申报。同一申报人不得同时申报多个奖项。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各学院（部）认真组织此次评选活动，从教师、课程组、教研室等自下而上、逐级推选，优中选优。结合评选条件，对教师教育教学情况进行综合评分，11月30日前确定特等奖和一等奖拟推荐人选报学校评审，确定二等奖推荐人选报教务处审查备案，并在系统上完成审核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学校评审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教学质量特等奖和一等奖由学校组织专家进行评审。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公示发文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所有拟获奖人经过公示无异议，学校予以发文并奖励。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firstLine="703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firstLine="703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附件：1.温州医科大学“本科教学质量优秀奖”遴选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firstLine="1920" w:firstLineChars="6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实施方案（试行）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firstLine="1708" w:firstLineChars="534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2.各学院评选2022年度本科质量优秀奖二等奖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firstLine="1708" w:firstLineChars="534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推荐名额表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firstLine="1708" w:firstLineChars="534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3.“本科教学质量优秀奖”申报书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firstLine="703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4.学院2022年度本科教学质量优秀奖推荐名单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firstLine="703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firstLine="6400" w:firstLineChars="20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教务处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pacing w:line="560" w:lineRule="exact"/>
        <w:ind w:firstLine="5440" w:firstLineChars="17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tbl>
      <w:tblPr>
        <w:tblStyle w:val="9"/>
        <w:tblpPr w:leftFromText="180" w:rightFromText="180" w:vertAnchor="text" w:horzAnchor="page" w:tblpX="1798" w:tblpY="154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522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温州医科大学教务处　            </w:t>
            </w:r>
            <w:bookmarkStart w:id="0" w:name="印发日期"/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2022年10月20日</w:t>
            </w:r>
            <w:bookmarkEnd w:id="0"/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印发</w:t>
            </w:r>
          </w:p>
        </w:tc>
      </w:tr>
    </w:tbl>
    <w:p>
      <w:pPr>
        <w:spacing w:line="560" w:lineRule="exact"/>
        <w:jc w:val="both"/>
        <w:rPr>
          <w:rFonts w:hint="eastAsia" w:ascii="Times New Roman" w:hAnsi="Times New Roman" w:eastAsia="仿宋" w:cs="仿宋"/>
          <w:kern w:val="0"/>
          <w:sz w:val="31"/>
          <w:szCs w:val="31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ascii="宋体" w:hAnsi="宋体"/>
        <w:sz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3 -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/>
                        <w:sz w:val="28"/>
                        <w:lang w:val="en-US" w:eastAsia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</w:rPr>
                      <w:t xml:space="preserve"> 3 -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sdt>
    <w:sdtPr>
      <w:id w:val="-314600491"/>
    </w:sdtPr>
    <w:sdtContent>
      <w:p>
        <w:pPr>
          <w:pStyle w:val="6"/>
          <w:jc w:val="right"/>
        </w:pP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F7652F"/>
    <w:multiLevelType w:val="singleLevel"/>
    <w:tmpl w:val="92F7652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1F8A8EB"/>
    <w:multiLevelType w:val="singleLevel"/>
    <w:tmpl w:val="A1F8A8E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EC6CE6E"/>
    <w:multiLevelType w:val="singleLevel"/>
    <w:tmpl w:val="AEC6CE6E"/>
    <w:lvl w:ilvl="0" w:tentative="0">
      <w:start w:val="1"/>
      <w:numFmt w:val="chineseCounting"/>
      <w:suff w:val="nothing"/>
      <w:lvlText w:val="（%1）"/>
      <w:lvlJc w:val="left"/>
      <w:rPr>
        <w:rFonts w:hint="eastAsia" w:ascii="仿宋_GB2312" w:hAnsi="仿宋_GB2312" w:eastAsia="仿宋_GB2312" w:cs="仿宋_GB2312"/>
      </w:rPr>
    </w:lvl>
  </w:abstractNum>
  <w:abstractNum w:abstractNumId="3">
    <w:nsid w:val="BFAADD64"/>
    <w:multiLevelType w:val="singleLevel"/>
    <w:tmpl w:val="BFAADD6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DB8223D8"/>
    <w:multiLevelType w:val="singleLevel"/>
    <w:tmpl w:val="DB8223D8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FA14352E"/>
    <w:multiLevelType w:val="singleLevel"/>
    <w:tmpl w:val="FA14352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05B31F82"/>
    <w:multiLevelType w:val="singleLevel"/>
    <w:tmpl w:val="05B31F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Y2U5ZTQxY2U5MzJkMzRjYWUwZjc2MTZiNmI2NWQifQ=="/>
  </w:docVars>
  <w:rsids>
    <w:rsidRoot w:val="004A0D74"/>
    <w:rsid w:val="000124CA"/>
    <w:rsid w:val="00026A45"/>
    <w:rsid w:val="00031DBF"/>
    <w:rsid w:val="00033E4D"/>
    <w:rsid w:val="000558A1"/>
    <w:rsid w:val="000626E3"/>
    <w:rsid w:val="00066006"/>
    <w:rsid w:val="00070173"/>
    <w:rsid w:val="00070BF9"/>
    <w:rsid w:val="000732DE"/>
    <w:rsid w:val="000802B3"/>
    <w:rsid w:val="00083BC5"/>
    <w:rsid w:val="00086371"/>
    <w:rsid w:val="00090E07"/>
    <w:rsid w:val="00097999"/>
    <w:rsid w:val="000A71A2"/>
    <w:rsid w:val="000B1F9F"/>
    <w:rsid w:val="000C0568"/>
    <w:rsid w:val="000D02E0"/>
    <w:rsid w:val="000D6061"/>
    <w:rsid w:val="000E5338"/>
    <w:rsid w:val="00102A6C"/>
    <w:rsid w:val="00106AED"/>
    <w:rsid w:val="001076E4"/>
    <w:rsid w:val="00107E2A"/>
    <w:rsid w:val="00124B60"/>
    <w:rsid w:val="00134E56"/>
    <w:rsid w:val="00143D72"/>
    <w:rsid w:val="00146DBF"/>
    <w:rsid w:val="00150670"/>
    <w:rsid w:val="0015469A"/>
    <w:rsid w:val="001571E7"/>
    <w:rsid w:val="001606A0"/>
    <w:rsid w:val="00167310"/>
    <w:rsid w:val="00171129"/>
    <w:rsid w:val="00176C11"/>
    <w:rsid w:val="001806DA"/>
    <w:rsid w:val="00180C02"/>
    <w:rsid w:val="00187C25"/>
    <w:rsid w:val="00190A5A"/>
    <w:rsid w:val="00197F8A"/>
    <w:rsid w:val="001A0629"/>
    <w:rsid w:val="001A115F"/>
    <w:rsid w:val="001A6264"/>
    <w:rsid w:val="001B3063"/>
    <w:rsid w:val="001B421D"/>
    <w:rsid w:val="001C14AE"/>
    <w:rsid w:val="001C6E6D"/>
    <w:rsid w:val="001D08D8"/>
    <w:rsid w:val="001D4383"/>
    <w:rsid w:val="001E7CCA"/>
    <w:rsid w:val="001F1203"/>
    <w:rsid w:val="001F768E"/>
    <w:rsid w:val="00204057"/>
    <w:rsid w:val="00206589"/>
    <w:rsid w:val="00212D8F"/>
    <w:rsid w:val="00217621"/>
    <w:rsid w:val="002243B7"/>
    <w:rsid w:val="00226DF6"/>
    <w:rsid w:val="002403AE"/>
    <w:rsid w:val="00242152"/>
    <w:rsid w:val="0024397D"/>
    <w:rsid w:val="0025612D"/>
    <w:rsid w:val="0025662F"/>
    <w:rsid w:val="00261C21"/>
    <w:rsid w:val="00270B63"/>
    <w:rsid w:val="00281C4B"/>
    <w:rsid w:val="00292F99"/>
    <w:rsid w:val="002A2F42"/>
    <w:rsid w:val="002A4586"/>
    <w:rsid w:val="002A7545"/>
    <w:rsid w:val="002B5AE4"/>
    <w:rsid w:val="002C3B73"/>
    <w:rsid w:val="002C5CC9"/>
    <w:rsid w:val="002C6F54"/>
    <w:rsid w:val="002E2B02"/>
    <w:rsid w:val="002E37CC"/>
    <w:rsid w:val="002E6A9D"/>
    <w:rsid w:val="002F1004"/>
    <w:rsid w:val="002F7FEA"/>
    <w:rsid w:val="003053D1"/>
    <w:rsid w:val="00307819"/>
    <w:rsid w:val="00311FDA"/>
    <w:rsid w:val="0031509C"/>
    <w:rsid w:val="00322FFB"/>
    <w:rsid w:val="00327E4C"/>
    <w:rsid w:val="003321D9"/>
    <w:rsid w:val="00333D8B"/>
    <w:rsid w:val="003505C8"/>
    <w:rsid w:val="003517DF"/>
    <w:rsid w:val="003532DA"/>
    <w:rsid w:val="003570A4"/>
    <w:rsid w:val="00373F61"/>
    <w:rsid w:val="00375810"/>
    <w:rsid w:val="0037584A"/>
    <w:rsid w:val="00376FB8"/>
    <w:rsid w:val="003810B4"/>
    <w:rsid w:val="0038446F"/>
    <w:rsid w:val="003957B2"/>
    <w:rsid w:val="003D1031"/>
    <w:rsid w:val="003D1E68"/>
    <w:rsid w:val="003D7A64"/>
    <w:rsid w:val="00404A8C"/>
    <w:rsid w:val="00410CC6"/>
    <w:rsid w:val="0041675D"/>
    <w:rsid w:val="004207F3"/>
    <w:rsid w:val="004254B1"/>
    <w:rsid w:val="00437728"/>
    <w:rsid w:val="004631F6"/>
    <w:rsid w:val="00466EF3"/>
    <w:rsid w:val="00467331"/>
    <w:rsid w:val="004676FE"/>
    <w:rsid w:val="00472B66"/>
    <w:rsid w:val="0049339A"/>
    <w:rsid w:val="004A0D74"/>
    <w:rsid w:val="004B3F72"/>
    <w:rsid w:val="004C37B3"/>
    <w:rsid w:val="004C48B0"/>
    <w:rsid w:val="004E08D9"/>
    <w:rsid w:val="004F402C"/>
    <w:rsid w:val="004F681D"/>
    <w:rsid w:val="00500898"/>
    <w:rsid w:val="00502D86"/>
    <w:rsid w:val="00506281"/>
    <w:rsid w:val="00517BEF"/>
    <w:rsid w:val="00526625"/>
    <w:rsid w:val="005276B2"/>
    <w:rsid w:val="005359D1"/>
    <w:rsid w:val="0054463D"/>
    <w:rsid w:val="00544783"/>
    <w:rsid w:val="00553666"/>
    <w:rsid w:val="005559F8"/>
    <w:rsid w:val="005576D0"/>
    <w:rsid w:val="00574CEA"/>
    <w:rsid w:val="00576A29"/>
    <w:rsid w:val="00584089"/>
    <w:rsid w:val="005936F4"/>
    <w:rsid w:val="005A2E96"/>
    <w:rsid w:val="005B1F78"/>
    <w:rsid w:val="005B4EE8"/>
    <w:rsid w:val="005C40F2"/>
    <w:rsid w:val="005D7802"/>
    <w:rsid w:val="005E106B"/>
    <w:rsid w:val="005E66F3"/>
    <w:rsid w:val="005E75B0"/>
    <w:rsid w:val="005E78FC"/>
    <w:rsid w:val="005F5409"/>
    <w:rsid w:val="005F5BC5"/>
    <w:rsid w:val="005F77F3"/>
    <w:rsid w:val="005F78E3"/>
    <w:rsid w:val="006062F0"/>
    <w:rsid w:val="00607938"/>
    <w:rsid w:val="0061307D"/>
    <w:rsid w:val="00617B4B"/>
    <w:rsid w:val="006239DC"/>
    <w:rsid w:val="00635B20"/>
    <w:rsid w:val="00636772"/>
    <w:rsid w:val="00640EF0"/>
    <w:rsid w:val="00642824"/>
    <w:rsid w:val="0064483B"/>
    <w:rsid w:val="00647E23"/>
    <w:rsid w:val="006546F0"/>
    <w:rsid w:val="00657763"/>
    <w:rsid w:val="006654B1"/>
    <w:rsid w:val="00690754"/>
    <w:rsid w:val="00690F73"/>
    <w:rsid w:val="00692E46"/>
    <w:rsid w:val="006A0CDC"/>
    <w:rsid w:val="006A6A79"/>
    <w:rsid w:val="006B6F6F"/>
    <w:rsid w:val="006B7242"/>
    <w:rsid w:val="006D1294"/>
    <w:rsid w:val="006D1F0B"/>
    <w:rsid w:val="006D6BE6"/>
    <w:rsid w:val="006E2EEC"/>
    <w:rsid w:val="006E7BBD"/>
    <w:rsid w:val="00715FD0"/>
    <w:rsid w:val="007174C3"/>
    <w:rsid w:val="007329E5"/>
    <w:rsid w:val="0074706A"/>
    <w:rsid w:val="00754BD6"/>
    <w:rsid w:val="007562B1"/>
    <w:rsid w:val="007717B9"/>
    <w:rsid w:val="00777572"/>
    <w:rsid w:val="0078315F"/>
    <w:rsid w:val="007863E6"/>
    <w:rsid w:val="007870AE"/>
    <w:rsid w:val="00794501"/>
    <w:rsid w:val="00795FE9"/>
    <w:rsid w:val="00796C91"/>
    <w:rsid w:val="007A0E52"/>
    <w:rsid w:val="007A5BAC"/>
    <w:rsid w:val="007B30AC"/>
    <w:rsid w:val="007B48F7"/>
    <w:rsid w:val="007B4E29"/>
    <w:rsid w:val="007C2340"/>
    <w:rsid w:val="007C68A9"/>
    <w:rsid w:val="007C7019"/>
    <w:rsid w:val="007D065D"/>
    <w:rsid w:val="007D6859"/>
    <w:rsid w:val="007D7F73"/>
    <w:rsid w:val="007E20D7"/>
    <w:rsid w:val="007F17E4"/>
    <w:rsid w:val="008045EB"/>
    <w:rsid w:val="00804E72"/>
    <w:rsid w:val="00812ED3"/>
    <w:rsid w:val="008134C3"/>
    <w:rsid w:val="008154A6"/>
    <w:rsid w:val="00815A02"/>
    <w:rsid w:val="008233DC"/>
    <w:rsid w:val="00823AE4"/>
    <w:rsid w:val="00842253"/>
    <w:rsid w:val="0084243A"/>
    <w:rsid w:val="00853C93"/>
    <w:rsid w:val="0085450C"/>
    <w:rsid w:val="00855C00"/>
    <w:rsid w:val="00855E62"/>
    <w:rsid w:val="00856AAD"/>
    <w:rsid w:val="00861430"/>
    <w:rsid w:val="0086670C"/>
    <w:rsid w:val="00872027"/>
    <w:rsid w:val="0087741F"/>
    <w:rsid w:val="00884594"/>
    <w:rsid w:val="00884CC6"/>
    <w:rsid w:val="008923BE"/>
    <w:rsid w:val="00892CD9"/>
    <w:rsid w:val="00894A7F"/>
    <w:rsid w:val="008B0163"/>
    <w:rsid w:val="008B0790"/>
    <w:rsid w:val="008B3C00"/>
    <w:rsid w:val="008C466C"/>
    <w:rsid w:val="008D29E5"/>
    <w:rsid w:val="008D60C4"/>
    <w:rsid w:val="008D7E52"/>
    <w:rsid w:val="008E1FFA"/>
    <w:rsid w:val="008E3302"/>
    <w:rsid w:val="008F0FB5"/>
    <w:rsid w:val="008F387C"/>
    <w:rsid w:val="00910B24"/>
    <w:rsid w:val="00921CE7"/>
    <w:rsid w:val="0092257C"/>
    <w:rsid w:val="009302B7"/>
    <w:rsid w:val="009329A6"/>
    <w:rsid w:val="009600EA"/>
    <w:rsid w:val="0096046D"/>
    <w:rsid w:val="00961456"/>
    <w:rsid w:val="009648E5"/>
    <w:rsid w:val="0096604B"/>
    <w:rsid w:val="00972384"/>
    <w:rsid w:val="00983D8A"/>
    <w:rsid w:val="0098599A"/>
    <w:rsid w:val="00985CBC"/>
    <w:rsid w:val="00985D77"/>
    <w:rsid w:val="009872A1"/>
    <w:rsid w:val="0099506D"/>
    <w:rsid w:val="009A0F2E"/>
    <w:rsid w:val="009A1A8B"/>
    <w:rsid w:val="009A2E4D"/>
    <w:rsid w:val="009B734C"/>
    <w:rsid w:val="009C0B13"/>
    <w:rsid w:val="009C7085"/>
    <w:rsid w:val="009D102A"/>
    <w:rsid w:val="009D144C"/>
    <w:rsid w:val="009D25BB"/>
    <w:rsid w:val="009E142F"/>
    <w:rsid w:val="009E1FA7"/>
    <w:rsid w:val="009F158E"/>
    <w:rsid w:val="009F5332"/>
    <w:rsid w:val="00A00E4A"/>
    <w:rsid w:val="00A06467"/>
    <w:rsid w:val="00A12CB5"/>
    <w:rsid w:val="00A1347C"/>
    <w:rsid w:val="00A16617"/>
    <w:rsid w:val="00A25C72"/>
    <w:rsid w:val="00A3454D"/>
    <w:rsid w:val="00A419DE"/>
    <w:rsid w:val="00A47F8D"/>
    <w:rsid w:val="00A5180C"/>
    <w:rsid w:val="00A7327D"/>
    <w:rsid w:val="00A736DD"/>
    <w:rsid w:val="00A748D3"/>
    <w:rsid w:val="00A75301"/>
    <w:rsid w:val="00A760BE"/>
    <w:rsid w:val="00A904B7"/>
    <w:rsid w:val="00A92499"/>
    <w:rsid w:val="00A9613B"/>
    <w:rsid w:val="00AA5DAB"/>
    <w:rsid w:val="00AB0CA5"/>
    <w:rsid w:val="00AB1E99"/>
    <w:rsid w:val="00AB733A"/>
    <w:rsid w:val="00AC22F2"/>
    <w:rsid w:val="00AC56BA"/>
    <w:rsid w:val="00AC7528"/>
    <w:rsid w:val="00AC79D2"/>
    <w:rsid w:val="00AD2EF8"/>
    <w:rsid w:val="00AE473E"/>
    <w:rsid w:val="00AE5B11"/>
    <w:rsid w:val="00AF1368"/>
    <w:rsid w:val="00AF4686"/>
    <w:rsid w:val="00B0015E"/>
    <w:rsid w:val="00B067D5"/>
    <w:rsid w:val="00B06C76"/>
    <w:rsid w:val="00B13678"/>
    <w:rsid w:val="00B1756E"/>
    <w:rsid w:val="00B20679"/>
    <w:rsid w:val="00B253C6"/>
    <w:rsid w:val="00B36DC2"/>
    <w:rsid w:val="00B377E4"/>
    <w:rsid w:val="00B417ED"/>
    <w:rsid w:val="00B51C0B"/>
    <w:rsid w:val="00B6429F"/>
    <w:rsid w:val="00B6444D"/>
    <w:rsid w:val="00B7545F"/>
    <w:rsid w:val="00B769A6"/>
    <w:rsid w:val="00B76FD5"/>
    <w:rsid w:val="00B84463"/>
    <w:rsid w:val="00B87B4C"/>
    <w:rsid w:val="00B954F7"/>
    <w:rsid w:val="00B9682B"/>
    <w:rsid w:val="00BA0518"/>
    <w:rsid w:val="00BA3054"/>
    <w:rsid w:val="00BA31CF"/>
    <w:rsid w:val="00BB2A2B"/>
    <w:rsid w:val="00BB3D91"/>
    <w:rsid w:val="00BB4A03"/>
    <w:rsid w:val="00BC4FDA"/>
    <w:rsid w:val="00BC5674"/>
    <w:rsid w:val="00BD3436"/>
    <w:rsid w:val="00BE1C66"/>
    <w:rsid w:val="00BE2912"/>
    <w:rsid w:val="00BE3EC0"/>
    <w:rsid w:val="00BE444C"/>
    <w:rsid w:val="00BE51BC"/>
    <w:rsid w:val="00BF6A1E"/>
    <w:rsid w:val="00C00C0D"/>
    <w:rsid w:val="00C059F6"/>
    <w:rsid w:val="00C22AB8"/>
    <w:rsid w:val="00C23BE0"/>
    <w:rsid w:val="00C23DF7"/>
    <w:rsid w:val="00C25D67"/>
    <w:rsid w:val="00C426FD"/>
    <w:rsid w:val="00C452EF"/>
    <w:rsid w:val="00C46840"/>
    <w:rsid w:val="00C47D81"/>
    <w:rsid w:val="00C55E27"/>
    <w:rsid w:val="00C60F5B"/>
    <w:rsid w:val="00C707C7"/>
    <w:rsid w:val="00C73053"/>
    <w:rsid w:val="00C73739"/>
    <w:rsid w:val="00C769E0"/>
    <w:rsid w:val="00C850E4"/>
    <w:rsid w:val="00C87D00"/>
    <w:rsid w:val="00C91F8B"/>
    <w:rsid w:val="00CA5199"/>
    <w:rsid w:val="00CB234E"/>
    <w:rsid w:val="00CC11BD"/>
    <w:rsid w:val="00CC282C"/>
    <w:rsid w:val="00CC32A9"/>
    <w:rsid w:val="00CE0C4D"/>
    <w:rsid w:val="00CE35D7"/>
    <w:rsid w:val="00CE7CD3"/>
    <w:rsid w:val="00CF462C"/>
    <w:rsid w:val="00D05270"/>
    <w:rsid w:val="00D31947"/>
    <w:rsid w:val="00D36DAF"/>
    <w:rsid w:val="00D40A7A"/>
    <w:rsid w:val="00D568C9"/>
    <w:rsid w:val="00D6068F"/>
    <w:rsid w:val="00D62B7D"/>
    <w:rsid w:val="00D7400E"/>
    <w:rsid w:val="00D75C11"/>
    <w:rsid w:val="00D77370"/>
    <w:rsid w:val="00D804FD"/>
    <w:rsid w:val="00D85B01"/>
    <w:rsid w:val="00D90A73"/>
    <w:rsid w:val="00D9339F"/>
    <w:rsid w:val="00D964ED"/>
    <w:rsid w:val="00DA21D4"/>
    <w:rsid w:val="00DB160A"/>
    <w:rsid w:val="00DB1FE6"/>
    <w:rsid w:val="00DC49BD"/>
    <w:rsid w:val="00DC4E4B"/>
    <w:rsid w:val="00DD0A36"/>
    <w:rsid w:val="00DD439F"/>
    <w:rsid w:val="00DD6A20"/>
    <w:rsid w:val="00DE27FA"/>
    <w:rsid w:val="00DE7078"/>
    <w:rsid w:val="00DF06FD"/>
    <w:rsid w:val="00DF203C"/>
    <w:rsid w:val="00E029EE"/>
    <w:rsid w:val="00E040C6"/>
    <w:rsid w:val="00E05EC9"/>
    <w:rsid w:val="00E22721"/>
    <w:rsid w:val="00E26CFC"/>
    <w:rsid w:val="00E37114"/>
    <w:rsid w:val="00E5052C"/>
    <w:rsid w:val="00E52773"/>
    <w:rsid w:val="00E55365"/>
    <w:rsid w:val="00E628A4"/>
    <w:rsid w:val="00E6440C"/>
    <w:rsid w:val="00E67224"/>
    <w:rsid w:val="00E76ED0"/>
    <w:rsid w:val="00E81B90"/>
    <w:rsid w:val="00E83735"/>
    <w:rsid w:val="00E84B63"/>
    <w:rsid w:val="00E87017"/>
    <w:rsid w:val="00E92BBC"/>
    <w:rsid w:val="00E93373"/>
    <w:rsid w:val="00E93B16"/>
    <w:rsid w:val="00E96507"/>
    <w:rsid w:val="00EA5642"/>
    <w:rsid w:val="00EA6AEA"/>
    <w:rsid w:val="00EB049F"/>
    <w:rsid w:val="00EB278E"/>
    <w:rsid w:val="00EB5B1B"/>
    <w:rsid w:val="00EC1A2F"/>
    <w:rsid w:val="00EC2373"/>
    <w:rsid w:val="00EC561C"/>
    <w:rsid w:val="00EC603E"/>
    <w:rsid w:val="00ED29F4"/>
    <w:rsid w:val="00ED4160"/>
    <w:rsid w:val="00EE4478"/>
    <w:rsid w:val="00EF0086"/>
    <w:rsid w:val="00F00322"/>
    <w:rsid w:val="00F0397C"/>
    <w:rsid w:val="00F17FB1"/>
    <w:rsid w:val="00F21856"/>
    <w:rsid w:val="00F355EB"/>
    <w:rsid w:val="00F36FFE"/>
    <w:rsid w:val="00F463B0"/>
    <w:rsid w:val="00F470EA"/>
    <w:rsid w:val="00F47D44"/>
    <w:rsid w:val="00F526A9"/>
    <w:rsid w:val="00F62610"/>
    <w:rsid w:val="00F712D1"/>
    <w:rsid w:val="00F720A9"/>
    <w:rsid w:val="00F72DE6"/>
    <w:rsid w:val="00F72F9D"/>
    <w:rsid w:val="00F7709D"/>
    <w:rsid w:val="00F8107F"/>
    <w:rsid w:val="00F83476"/>
    <w:rsid w:val="00F842A1"/>
    <w:rsid w:val="00F85FC9"/>
    <w:rsid w:val="00F9153E"/>
    <w:rsid w:val="00F924D3"/>
    <w:rsid w:val="00F94438"/>
    <w:rsid w:val="00F95CCD"/>
    <w:rsid w:val="00F96B35"/>
    <w:rsid w:val="00FB3168"/>
    <w:rsid w:val="00FB67E5"/>
    <w:rsid w:val="00FB7A1D"/>
    <w:rsid w:val="00FC5C20"/>
    <w:rsid w:val="00FF0213"/>
    <w:rsid w:val="00FF2382"/>
    <w:rsid w:val="00FF4F12"/>
    <w:rsid w:val="01D95CE3"/>
    <w:rsid w:val="06C70EE7"/>
    <w:rsid w:val="06F83CAA"/>
    <w:rsid w:val="08895535"/>
    <w:rsid w:val="089D22E2"/>
    <w:rsid w:val="097975C8"/>
    <w:rsid w:val="0D4B3EFC"/>
    <w:rsid w:val="0D7E0245"/>
    <w:rsid w:val="10972A9C"/>
    <w:rsid w:val="10DB4B99"/>
    <w:rsid w:val="114038E9"/>
    <w:rsid w:val="174C5C6C"/>
    <w:rsid w:val="1B2B4A4E"/>
    <w:rsid w:val="1E261567"/>
    <w:rsid w:val="1F6C7E50"/>
    <w:rsid w:val="213D3E56"/>
    <w:rsid w:val="25F75664"/>
    <w:rsid w:val="2635188C"/>
    <w:rsid w:val="28514D53"/>
    <w:rsid w:val="291C70A6"/>
    <w:rsid w:val="2A561B61"/>
    <w:rsid w:val="2C7E6DD6"/>
    <w:rsid w:val="33AA49C0"/>
    <w:rsid w:val="36B76F65"/>
    <w:rsid w:val="36F21708"/>
    <w:rsid w:val="3F077D79"/>
    <w:rsid w:val="461B379F"/>
    <w:rsid w:val="470E42D3"/>
    <w:rsid w:val="48EA6EC5"/>
    <w:rsid w:val="4BC751D3"/>
    <w:rsid w:val="4D71644A"/>
    <w:rsid w:val="4E7C7F14"/>
    <w:rsid w:val="5787672F"/>
    <w:rsid w:val="58051770"/>
    <w:rsid w:val="5D8C279C"/>
    <w:rsid w:val="5DEF013D"/>
    <w:rsid w:val="61EC77CA"/>
    <w:rsid w:val="69653B46"/>
    <w:rsid w:val="6CE61076"/>
    <w:rsid w:val="6E9801D6"/>
    <w:rsid w:val="7061507A"/>
    <w:rsid w:val="71E63C45"/>
    <w:rsid w:val="727E7621"/>
    <w:rsid w:val="742A10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6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4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qFormat/>
    <w:uiPriority w:val="0"/>
    <w:rPr>
      <w:color w:val="525252"/>
      <w:u w:val="none"/>
    </w:rPr>
  </w:style>
  <w:style w:type="character" w:customStyle="1" w:styleId="14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8">
    <w:name w:val="arti-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arti-update"/>
    <w:basedOn w:val="11"/>
    <w:qFormat/>
    <w:uiPriority w:val="0"/>
  </w:style>
  <w:style w:type="character" w:customStyle="1" w:styleId="20">
    <w:name w:val="arti-views"/>
    <w:basedOn w:val="11"/>
    <w:qFormat/>
    <w:uiPriority w:val="0"/>
  </w:style>
  <w:style w:type="character" w:customStyle="1" w:styleId="21">
    <w:name w:val="wp_visitcount"/>
    <w:basedOn w:val="11"/>
    <w:qFormat/>
    <w:uiPriority w:val="0"/>
  </w:style>
  <w:style w:type="character" w:customStyle="1" w:styleId="22">
    <w:name w:val="ly"/>
    <w:basedOn w:val="11"/>
    <w:qFormat/>
    <w:uiPriority w:val="0"/>
  </w:style>
  <w:style w:type="character" w:customStyle="1" w:styleId="23">
    <w:name w:val="zz"/>
    <w:basedOn w:val="11"/>
    <w:qFormat/>
    <w:uiPriority w:val="0"/>
  </w:style>
  <w:style w:type="paragraph" w:customStyle="1" w:styleId="24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5">
    <w:name w:val="apple-converted-space"/>
    <w:basedOn w:val="11"/>
    <w:qFormat/>
    <w:uiPriority w:val="0"/>
  </w:style>
  <w:style w:type="character" w:customStyle="1" w:styleId="26">
    <w:name w:val="批注文字 Char"/>
    <w:basedOn w:val="11"/>
    <w:link w:val="3"/>
    <w:qFormat/>
    <w:uiPriority w:val="0"/>
    <w:rPr>
      <w:rFonts w:ascii="Calibri" w:hAnsi="Calibri" w:eastAsia="宋体" w:cs="Times New Roman"/>
      <w:szCs w:val="24"/>
    </w:rPr>
  </w:style>
  <w:style w:type="character" w:customStyle="1" w:styleId="27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8">
    <w:name w:val="日期 Char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305174-6D20-4B89-9C8D-AA5D94629B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320</Words>
  <Characters>1828</Characters>
  <Lines>15</Lines>
  <Paragraphs>4</Paragraphs>
  <TotalTime>10</TotalTime>
  <ScaleCrop>false</ScaleCrop>
  <LinksUpToDate>false</LinksUpToDate>
  <CharactersWithSpaces>2144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2019-04-11T01:05:00Z</dcterms:created>
  <dc:creator>张立康</dc:creator>
  <cp:lastModifiedBy>杨鸣哲Sissi</cp:lastModifiedBy>
  <cp:lastPrinted>2022-10-21T07:51:37Z</cp:lastPrinted>
  <dcterms:modified xsi:type="dcterms:W3CDTF">2022-10-21T07:56:08Z</dcterms:modified>
  <cp:revision>368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1C4312ABE52346EEBB5990BFE3D6C6EA</vt:lpwstr>
  </property>
</Properties>
</file>