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EE4" w:rsidRPr="003526F0" w:rsidRDefault="00954EFC" w:rsidP="00D46D5B">
      <w:pPr>
        <w:jc w:val="center"/>
        <w:rPr>
          <w:rFonts w:ascii="仿宋" w:eastAsia="仿宋" w:hAnsi="仿宋"/>
          <w:b/>
          <w:kern w:val="44"/>
          <w:sz w:val="32"/>
          <w:szCs w:val="32"/>
        </w:rPr>
      </w:pPr>
      <w:r w:rsidRPr="003526F0">
        <w:rPr>
          <w:rFonts w:ascii="仿宋" w:eastAsia="仿宋" w:hAnsi="仿宋" w:hint="eastAsia"/>
          <w:b/>
          <w:kern w:val="44"/>
          <w:sz w:val="32"/>
          <w:szCs w:val="32"/>
        </w:rPr>
        <w:t>项目服务内容</w:t>
      </w:r>
    </w:p>
    <w:tbl>
      <w:tblPr>
        <w:tblStyle w:val="a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1125"/>
        <w:gridCol w:w="1155"/>
        <w:gridCol w:w="5658"/>
      </w:tblGrid>
      <w:tr w:rsidR="003526F0" w:rsidRPr="003526F0" w:rsidTr="00357C85">
        <w:trPr>
          <w:trHeight w:val="284"/>
        </w:trPr>
        <w:tc>
          <w:tcPr>
            <w:tcW w:w="851" w:type="dxa"/>
            <w:vAlign w:val="center"/>
          </w:tcPr>
          <w:p w:rsidR="003526F0" w:rsidRPr="003526F0" w:rsidRDefault="003526F0" w:rsidP="00842BE3">
            <w:pPr>
              <w:jc w:val="center"/>
              <w:rPr>
                <w:b/>
                <w:sz w:val="24"/>
                <w:szCs w:val="24"/>
              </w:rPr>
            </w:pPr>
            <w:r w:rsidRPr="003526F0"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526F0" w:rsidRPr="003526F0" w:rsidRDefault="003526F0" w:rsidP="00842BE3">
            <w:pPr>
              <w:jc w:val="center"/>
              <w:rPr>
                <w:b/>
                <w:sz w:val="24"/>
                <w:szCs w:val="24"/>
              </w:rPr>
            </w:pPr>
            <w:r w:rsidRPr="003526F0">
              <w:rPr>
                <w:rFonts w:hint="eastAsia"/>
                <w:b/>
                <w:sz w:val="24"/>
                <w:szCs w:val="24"/>
              </w:rPr>
              <w:t>摘要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526F0" w:rsidRPr="003526F0" w:rsidRDefault="003526F0" w:rsidP="00842BE3">
            <w:pPr>
              <w:jc w:val="center"/>
              <w:rPr>
                <w:b/>
                <w:sz w:val="24"/>
                <w:szCs w:val="24"/>
              </w:rPr>
            </w:pPr>
            <w:r w:rsidRPr="003526F0">
              <w:rPr>
                <w:rFonts w:hint="eastAsia"/>
                <w:b/>
                <w:sz w:val="24"/>
                <w:szCs w:val="24"/>
              </w:rPr>
              <w:t>内容</w:t>
            </w:r>
          </w:p>
        </w:tc>
      </w:tr>
      <w:tr w:rsidR="00343C71" w:rsidTr="00357C85">
        <w:trPr>
          <w:trHeight w:val="284"/>
        </w:trPr>
        <w:tc>
          <w:tcPr>
            <w:tcW w:w="851" w:type="dxa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资质材料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3C71" w:rsidRDefault="00343C71" w:rsidP="00343C71">
            <w:pPr>
              <w:pStyle w:val="a7"/>
              <w:numPr>
                <w:ilvl w:val="0"/>
                <w:numId w:val="13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报价方需获得国家机关颁发的且在有效期内的《实验动物许可证》，适用范围包括：“屏障环境：大鼠、小鼠、豚鼠使用；普通环境：豚鼠、兔、猴、犬、猪使用。”</w:t>
            </w:r>
          </w:p>
          <w:p w:rsidR="00343C71" w:rsidRDefault="00343C71" w:rsidP="00343C71">
            <w:pPr>
              <w:pStyle w:val="a7"/>
              <w:numPr>
                <w:ilvl w:val="0"/>
                <w:numId w:val="13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报价方需获得通过国家药监局药品注册管理局</w:t>
            </w:r>
            <w:r>
              <w:rPr>
                <w:rFonts w:hint="eastAsia"/>
                <w:szCs w:val="21"/>
              </w:rPr>
              <w:t>GLP</w:t>
            </w:r>
            <w:r>
              <w:rPr>
                <w:rFonts w:hint="eastAsia"/>
                <w:szCs w:val="21"/>
              </w:rPr>
              <w:t>认证工作。报价方单位安全评价中心在药物安全评价的组织管理和人员、仪器设备和实验材料、标准操作规程以及试验运行等方面需要符合</w:t>
            </w:r>
            <w:r>
              <w:rPr>
                <w:rFonts w:hint="eastAsia"/>
                <w:szCs w:val="21"/>
              </w:rPr>
              <w:t>GLP</w:t>
            </w:r>
            <w:r>
              <w:rPr>
                <w:rFonts w:hint="eastAsia"/>
                <w:szCs w:val="21"/>
              </w:rPr>
              <w:t>要求。具有符合</w:t>
            </w:r>
            <w:r>
              <w:rPr>
                <w:rFonts w:hint="eastAsia"/>
                <w:szCs w:val="21"/>
              </w:rPr>
              <w:t>GLP</w:t>
            </w:r>
            <w:r>
              <w:rPr>
                <w:rFonts w:hint="eastAsia"/>
                <w:szCs w:val="21"/>
              </w:rPr>
              <w:t>要求的单次和多次给药毒性试验（啮齿类）、单次和多次给药毒性试验（非啮齿类）、局部毒性试验、免疫原性试验、</w:t>
            </w:r>
            <w:proofErr w:type="gramStart"/>
            <w:r>
              <w:rPr>
                <w:rFonts w:hint="eastAsia"/>
                <w:szCs w:val="21"/>
              </w:rPr>
              <w:t>毒代动力学试验</w:t>
            </w:r>
            <w:proofErr w:type="gramEnd"/>
            <w:r>
              <w:rPr>
                <w:rFonts w:hint="eastAsia"/>
                <w:szCs w:val="21"/>
              </w:rPr>
              <w:t>等。</w:t>
            </w:r>
          </w:p>
        </w:tc>
      </w:tr>
      <w:tr w:rsidR="00343C71" w:rsidTr="00357C85">
        <w:trPr>
          <w:trHeight w:val="392"/>
        </w:trPr>
        <w:tc>
          <w:tcPr>
            <w:tcW w:w="851" w:type="dxa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 w:rsidRPr="000D0C93">
              <w:rPr>
                <w:rFonts w:eastAsia="宋体" w:hint="eastAsia"/>
                <w:kern w:val="2"/>
                <w:sz w:val="21"/>
                <w:szCs w:val="21"/>
              </w:rPr>
              <w:t>眼刺激性</w:t>
            </w:r>
            <w:r>
              <w:rPr>
                <w:rFonts w:eastAsia="宋体" w:hint="eastAsia"/>
                <w:kern w:val="2"/>
                <w:sz w:val="21"/>
                <w:szCs w:val="21"/>
              </w:rPr>
              <w:t>试验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3C71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报价方需通过动物眼刺激性试验，</w:t>
            </w:r>
            <w:r w:rsidRPr="00A07779">
              <w:rPr>
                <w:rFonts w:ascii="宋体" w:hAnsi="宋体" w:hint="eastAsia"/>
                <w:szCs w:val="21"/>
              </w:rPr>
              <w:t>考察</w:t>
            </w:r>
            <w:r>
              <w:rPr>
                <w:rFonts w:ascii="宋体" w:hAnsi="宋体" w:hint="eastAsia"/>
                <w:szCs w:val="21"/>
              </w:rPr>
              <w:t>采购方产品--</w:t>
            </w:r>
            <w:r w:rsidRPr="00A07779">
              <w:rPr>
                <w:rFonts w:ascii="宋体" w:hAnsi="宋体" w:hint="eastAsia"/>
                <w:szCs w:val="21"/>
              </w:rPr>
              <w:t>硫酸阿托品</w:t>
            </w:r>
            <w:r w:rsidRPr="00A07779">
              <w:rPr>
                <w:rFonts w:ascii="宋体" w:hAnsi="宋体"/>
                <w:szCs w:val="21"/>
              </w:rPr>
              <w:t>滴眼液重复给药对</w:t>
            </w:r>
            <w:proofErr w:type="gramStart"/>
            <w:r w:rsidRPr="00A07779">
              <w:rPr>
                <w:rFonts w:ascii="宋体" w:hAnsi="宋体" w:hint="eastAsia"/>
                <w:szCs w:val="21"/>
              </w:rPr>
              <w:t>兔</w:t>
            </w:r>
            <w:r w:rsidRPr="00A07779">
              <w:rPr>
                <w:rFonts w:ascii="宋体" w:hAnsi="宋体"/>
                <w:szCs w:val="21"/>
              </w:rPr>
              <w:t>眼睛</w:t>
            </w:r>
            <w:proofErr w:type="gramEnd"/>
            <w:r w:rsidRPr="00A07779">
              <w:rPr>
                <w:rFonts w:ascii="宋体" w:hAnsi="宋体" w:hint="eastAsia"/>
                <w:szCs w:val="21"/>
              </w:rPr>
              <w:t>是否具有刺激性及其刺激的</w:t>
            </w:r>
            <w:r w:rsidRPr="00A07779">
              <w:rPr>
                <w:rFonts w:ascii="宋体" w:hAnsi="宋体"/>
                <w:szCs w:val="21"/>
              </w:rPr>
              <w:t>可逆性，为</w:t>
            </w:r>
            <w:r w:rsidRPr="00A07779">
              <w:rPr>
                <w:rFonts w:ascii="宋体" w:hAnsi="宋体" w:hint="eastAsia"/>
                <w:szCs w:val="21"/>
              </w:rPr>
              <w:t>其</w:t>
            </w:r>
            <w:r w:rsidRPr="00A07779">
              <w:rPr>
                <w:rFonts w:ascii="宋体" w:hAnsi="宋体"/>
                <w:szCs w:val="21"/>
              </w:rPr>
              <w:t>临床应用的安全性提供依据。</w:t>
            </w:r>
          </w:p>
          <w:p w:rsidR="00343C71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</w:t>
            </w:r>
            <w:r>
              <w:rPr>
                <w:rFonts w:hint="eastAsia"/>
                <w:szCs w:val="21"/>
              </w:rPr>
              <w:t>需</w:t>
            </w:r>
            <w:r w:rsidRPr="00D9031F">
              <w:rPr>
                <w:szCs w:val="21"/>
              </w:rPr>
              <w:t>遵从国家药品监督管理局</w:t>
            </w:r>
            <w:r w:rsidRPr="00D9031F">
              <w:rPr>
                <w:rFonts w:hint="eastAsia"/>
                <w:szCs w:val="21"/>
              </w:rPr>
              <w:t>（原国家食品药品监督管理总局）</w:t>
            </w:r>
            <w:r w:rsidRPr="00D9031F">
              <w:rPr>
                <w:rFonts w:hint="eastAsia"/>
                <w:szCs w:val="21"/>
              </w:rPr>
              <w:t>2017</w:t>
            </w:r>
            <w:r w:rsidRPr="00D9031F">
              <w:rPr>
                <w:rFonts w:hint="eastAsia"/>
                <w:szCs w:val="21"/>
              </w:rPr>
              <w:t>年</w:t>
            </w:r>
            <w:r w:rsidRPr="00D9031F">
              <w:rPr>
                <w:rFonts w:hint="eastAsia"/>
                <w:szCs w:val="21"/>
              </w:rPr>
              <w:t>9</w:t>
            </w:r>
            <w:r w:rsidRPr="00D9031F">
              <w:rPr>
                <w:rFonts w:hint="eastAsia"/>
                <w:szCs w:val="21"/>
              </w:rPr>
              <w:t>月</w:t>
            </w:r>
            <w:r w:rsidRPr="00D9031F">
              <w:rPr>
                <w:rFonts w:hint="eastAsia"/>
                <w:szCs w:val="21"/>
              </w:rPr>
              <w:t>1</w:t>
            </w:r>
            <w:r w:rsidRPr="00D9031F">
              <w:rPr>
                <w:rFonts w:hint="eastAsia"/>
                <w:szCs w:val="21"/>
              </w:rPr>
              <w:t>日施行的</w:t>
            </w:r>
            <w:r w:rsidRPr="00D9031F">
              <w:rPr>
                <w:szCs w:val="21"/>
              </w:rPr>
              <w:t>《药物非临床研究质量管理规范》（</w:t>
            </w:r>
            <w:proofErr w:type="gramStart"/>
            <w:r w:rsidRPr="00D9031F">
              <w:rPr>
                <w:szCs w:val="21"/>
              </w:rPr>
              <w:t>局令第</w:t>
            </w:r>
            <w:r w:rsidRPr="00D9031F">
              <w:rPr>
                <w:rFonts w:hint="eastAsia"/>
                <w:szCs w:val="21"/>
              </w:rPr>
              <w:t>34</w:t>
            </w:r>
            <w:r w:rsidRPr="00D9031F">
              <w:rPr>
                <w:szCs w:val="21"/>
              </w:rPr>
              <w:t>号</w:t>
            </w:r>
            <w:proofErr w:type="gramEnd"/>
            <w:r w:rsidRPr="00D9031F">
              <w:rPr>
                <w:szCs w:val="21"/>
              </w:rPr>
              <w:t>，</w:t>
            </w:r>
            <w:r w:rsidRPr="00D9031F">
              <w:rPr>
                <w:szCs w:val="21"/>
              </w:rPr>
              <w:t>20</w:t>
            </w:r>
            <w:r w:rsidRPr="00D9031F">
              <w:rPr>
                <w:rFonts w:hint="eastAsia"/>
                <w:szCs w:val="21"/>
              </w:rPr>
              <w:t>17</w:t>
            </w:r>
            <w:r w:rsidRPr="00D9031F">
              <w:rPr>
                <w:szCs w:val="21"/>
              </w:rPr>
              <w:t>年）</w:t>
            </w:r>
            <w:r>
              <w:rPr>
                <w:rFonts w:hint="eastAsia"/>
                <w:szCs w:val="21"/>
              </w:rPr>
              <w:t>。</w:t>
            </w:r>
          </w:p>
          <w:p w:rsidR="00343C71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试验需</w:t>
            </w:r>
            <w:r w:rsidRPr="00D9031F">
              <w:rPr>
                <w:szCs w:val="21"/>
              </w:rPr>
              <w:t>参照国家药品监督管理局</w:t>
            </w:r>
            <w:r w:rsidRPr="00D9031F">
              <w:rPr>
                <w:rFonts w:hint="eastAsia"/>
                <w:szCs w:val="21"/>
              </w:rPr>
              <w:t>（原国家食品药品监督管理总局）</w:t>
            </w:r>
            <w:r w:rsidRPr="00D9031F">
              <w:rPr>
                <w:szCs w:val="21"/>
              </w:rPr>
              <w:t>2014</w:t>
            </w:r>
            <w:r w:rsidRPr="00D9031F">
              <w:rPr>
                <w:szCs w:val="21"/>
              </w:rPr>
              <w:t>年第</w:t>
            </w:r>
            <w:r w:rsidRPr="00D9031F">
              <w:rPr>
                <w:szCs w:val="21"/>
              </w:rPr>
              <w:t>4</w:t>
            </w:r>
            <w:r w:rsidRPr="00D9031F">
              <w:rPr>
                <w:szCs w:val="21"/>
              </w:rPr>
              <w:t>号通告附件</w:t>
            </w:r>
            <w:r w:rsidRPr="00D9031F">
              <w:rPr>
                <w:szCs w:val="21"/>
              </w:rPr>
              <w:t>4</w:t>
            </w:r>
            <w:r w:rsidRPr="00D9031F">
              <w:rPr>
                <w:szCs w:val="21"/>
              </w:rPr>
              <w:t>《药物刺激性、过敏性和溶血性研究技术指导原则》进行试验。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</w:t>
            </w:r>
            <w:r w:rsidRPr="00D9031F">
              <w:rPr>
                <w:szCs w:val="21"/>
              </w:rPr>
              <w:t>动物使用</w:t>
            </w:r>
            <w:r w:rsidRPr="00D9031F">
              <w:rPr>
                <w:rFonts w:hint="eastAsia"/>
                <w:szCs w:val="21"/>
              </w:rPr>
              <w:t>需</w:t>
            </w:r>
            <w:r w:rsidRPr="00D9031F">
              <w:rPr>
                <w:szCs w:val="21"/>
              </w:rPr>
              <w:t>遵守国家动物福利法规《关于善待动物的指导性意见》（</w:t>
            </w:r>
            <w:r w:rsidRPr="00D9031F">
              <w:rPr>
                <w:szCs w:val="21"/>
              </w:rPr>
              <w:t>2006</w:t>
            </w:r>
            <w:r w:rsidRPr="00D9031F">
              <w:rPr>
                <w:szCs w:val="21"/>
              </w:rPr>
              <w:t>年，科技部）。</w:t>
            </w:r>
            <w:r w:rsidRPr="00D9031F">
              <w:rPr>
                <w:rFonts w:hint="eastAsia"/>
                <w:szCs w:val="21"/>
              </w:rPr>
              <w:t>试验</w:t>
            </w:r>
            <w:r w:rsidRPr="00D9031F">
              <w:rPr>
                <w:szCs w:val="21"/>
              </w:rPr>
              <w:t>动物使用方案</w:t>
            </w:r>
            <w:proofErr w:type="gramStart"/>
            <w:r w:rsidRPr="00D9031F">
              <w:rPr>
                <w:szCs w:val="21"/>
              </w:rPr>
              <w:t>经机构</w:t>
            </w:r>
            <w:proofErr w:type="gramEnd"/>
            <w:r w:rsidRPr="00D9031F">
              <w:rPr>
                <w:szCs w:val="21"/>
              </w:rPr>
              <w:t>动物管理委员会（</w:t>
            </w:r>
            <w:r w:rsidRPr="00D9031F">
              <w:rPr>
                <w:szCs w:val="21"/>
              </w:rPr>
              <w:t>IACUC</w:t>
            </w:r>
            <w:r w:rsidRPr="00D9031F">
              <w:rPr>
                <w:szCs w:val="21"/>
              </w:rPr>
              <w:t>）批准，试验过程接受其监督。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试验方案、原始数据和最终报告均需经过</w:t>
            </w:r>
            <w:r>
              <w:rPr>
                <w:rFonts w:hint="eastAsia"/>
                <w:szCs w:val="21"/>
              </w:rPr>
              <w:t>受托方</w:t>
            </w:r>
            <w:r w:rsidRPr="00D9031F">
              <w:rPr>
                <w:rFonts w:hint="eastAsia"/>
                <w:szCs w:val="21"/>
              </w:rPr>
              <w:t>QAU</w:t>
            </w:r>
            <w:r w:rsidRPr="00D9031F">
              <w:rPr>
                <w:rFonts w:hint="eastAsia"/>
                <w:szCs w:val="21"/>
              </w:rPr>
              <w:t>的审核。按照质量保证计划，</w:t>
            </w:r>
            <w:r w:rsidRPr="00D9031F">
              <w:rPr>
                <w:rFonts w:hint="eastAsia"/>
                <w:szCs w:val="21"/>
              </w:rPr>
              <w:t xml:space="preserve"> QAU</w:t>
            </w:r>
            <w:r w:rsidRPr="00D9031F">
              <w:rPr>
                <w:rFonts w:hint="eastAsia"/>
                <w:szCs w:val="21"/>
              </w:rPr>
              <w:t>对试验实施开展了试验检查并再最终报告中出具一份质量保证声明。</w:t>
            </w:r>
          </w:p>
          <w:p w:rsidR="00343C71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试验过程需按照计划书、修改页及相关</w:t>
            </w:r>
            <w:r w:rsidRPr="00D9031F">
              <w:rPr>
                <w:rFonts w:hint="eastAsia"/>
                <w:szCs w:val="21"/>
              </w:rPr>
              <w:t>SOP</w:t>
            </w:r>
            <w:r w:rsidRPr="00D9031F">
              <w:rPr>
                <w:rFonts w:hint="eastAsia"/>
                <w:szCs w:val="21"/>
              </w:rPr>
              <w:t>进行。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报价方</w:t>
            </w:r>
            <w:r w:rsidRPr="00874EDE">
              <w:rPr>
                <w:rFonts w:hint="eastAsia"/>
                <w:szCs w:val="21"/>
              </w:rPr>
              <w:t>不得擅自将供</w:t>
            </w:r>
            <w:r w:rsidRPr="00874EDE">
              <w:rPr>
                <w:szCs w:val="21"/>
              </w:rPr>
              <w:t>试</w:t>
            </w:r>
            <w:r w:rsidRPr="00874EDE">
              <w:rPr>
                <w:rFonts w:hint="eastAsia"/>
                <w:szCs w:val="21"/>
              </w:rPr>
              <w:t>样品</w:t>
            </w:r>
            <w:r>
              <w:rPr>
                <w:rFonts w:hint="eastAsia"/>
                <w:szCs w:val="21"/>
              </w:rPr>
              <w:t>、</w:t>
            </w:r>
            <w:r w:rsidRPr="00874EDE">
              <w:rPr>
                <w:rFonts w:hint="eastAsia"/>
                <w:szCs w:val="21"/>
              </w:rPr>
              <w:t>试验任何数据和相关结果</w:t>
            </w:r>
            <w:r>
              <w:rPr>
                <w:rFonts w:hint="eastAsia"/>
                <w:szCs w:val="21"/>
              </w:rPr>
              <w:t>及</w:t>
            </w:r>
            <w:r w:rsidRPr="00874EDE">
              <w:rPr>
                <w:rFonts w:hint="eastAsia"/>
                <w:szCs w:val="21"/>
              </w:rPr>
              <w:t>相关信息转送或透露给第三方，</w:t>
            </w:r>
            <w:r w:rsidRPr="00874EDE">
              <w:rPr>
                <w:szCs w:val="21"/>
              </w:rPr>
              <w:t>国家强制力披露的除外</w:t>
            </w:r>
            <w:r w:rsidRPr="00874EDE">
              <w:rPr>
                <w:rFonts w:hint="eastAsia"/>
                <w:szCs w:val="21"/>
              </w:rPr>
              <w:t>。</w:t>
            </w:r>
          </w:p>
          <w:p w:rsidR="00343C71" w:rsidRPr="00874EDE" w:rsidRDefault="00343C71" w:rsidP="00343C71">
            <w:pPr>
              <w:pStyle w:val="a7"/>
              <w:numPr>
                <w:ilvl w:val="0"/>
                <w:numId w:val="14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最终</w:t>
            </w:r>
            <w:r w:rsidRPr="00D9031F">
              <w:rPr>
                <w:rFonts w:hint="eastAsia"/>
                <w:szCs w:val="21"/>
              </w:rPr>
              <w:t>需提供满足</w:t>
            </w:r>
            <w:r w:rsidRPr="00D9031F">
              <w:rPr>
                <w:szCs w:val="21"/>
              </w:rPr>
              <w:t>NMPA</w:t>
            </w:r>
            <w:r w:rsidRPr="00D9031F">
              <w:rPr>
                <w:rFonts w:hint="eastAsia"/>
                <w:szCs w:val="21"/>
              </w:rPr>
              <w:t>审评要求的完整报告</w:t>
            </w:r>
            <w:r w:rsidRPr="00D9031F">
              <w:rPr>
                <w:rFonts w:hint="eastAsia"/>
                <w:szCs w:val="21"/>
              </w:rPr>
              <w:t>5</w:t>
            </w:r>
            <w:r w:rsidRPr="00D9031F">
              <w:rPr>
                <w:rFonts w:hint="eastAsia"/>
                <w:szCs w:val="21"/>
              </w:rPr>
              <w:t>份，并可协助进行答辩。</w:t>
            </w:r>
          </w:p>
        </w:tc>
      </w:tr>
      <w:tr w:rsidR="00343C71" w:rsidTr="00357C85">
        <w:trPr>
          <w:trHeight w:val="392"/>
        </w:trPr>
        <w:tc>
          <w:tcPr>
            <w:tcW w:w="851" w:type="dxa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皮肤致敏试验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3C71" w:rsidRPr="001E5FAF" w:rsidRDefault="00343C71" w:rsidP="00343C71">
            <w:pPr>
              <w:pStyle w:val="2"/>
              <w:numPr>
                <w:ilvl w:val="0"/>
                <w:numId w:val="15"/>
              </w:numPr>
              <w:snapToGrid w:val="0"/>
              <w:ind w:firstLineChars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报价方需通过动物皮肤致敏性试验</w:t>
            </w:r>
            <w:r w:rsidRPr="000D0C93">
              <w:rPr>
                <w:rFonts w:eastAsia="宋体" w:hint="eastAsia"/>
                <w:kern w:val="2"/>
                <w:sz w:val="21"/>
                <w:szCs w:val="21"/>
              </w:rPr>
              <w:t>，</w:t>
            </w:r>
            <w:r w:rsidRPr="000D0C93">
              <w:rPr>
                <w:rFonts w:eastAsia="宋体" w:hint="eastAsia"/>
                <w:sz w:val="21"/>
                <w:szCs w:val="21"/>
              </w:rPr>
              <w:t>考察</w:t>
            </w:r>
            <w:r>
              <w:rPr>
                <w:rFonts w:eastAsia="宋体" w:hint="eastAsia"/>
                <w:sz w:val="21"/>
                <w:szCs w:val="21"/>
              </w:rPr>
              <w:t>采购方产品--</w:t>
            </w:r>
            <w:r w:rsidRPr="000D0C93">
              <w:rPr>
                <w:rFonts w:eastAsia="宋体" w:hint="eastAsia"/>
                <w:sz w:val="21"/>
                <w:szCs w:val="21"/>
              </w:rPr>
              <w:t>硫酸阿托品</w:t>
            </w:r>
            <w:r w:rsidRPr="000D0C93">
              <w:rPr>
                <w:rFonts w:eastAsia="宋体"/>
                <w:sz w:val="21"/>
                <w:szCs w:val="21"/>
              </w:rPr>
              <w:t>滴眼</w:t>
            </w:r>
            <w:proofErr w:type="gramStart"/>
            <w:r w:rsidRPr="000D0C93">
              <w:rPr>
                <w:rFonts w:eastAsia="宋体"/>
                <w:sz w:val="21"/>
                <w:szCs w:val="21"/>
              </w:rPr>
              <w:t>液</w:t>
            </w:r>
            <w:r>
              <w:rPr>
                <w:rFonts w:eastAsia="宋体" w:hint="eastAsia"/>
                <w:sz w:val="21"/>
                <w:szCs w:val="21"/>
              </w:rPr>
              <w:t>是否</w:t>
            </w:r>
            <w:proofErr w:type="gramEnd"/>
            <w:r>
              <w:rPr>
                <w:rFonts w:eastAsia="宋体" w:hint="eastAsia"/>
                <w:sz w:val="21"/>
                <w:szCs w:val="21"/>
              </w:rPr>
              <w:t>可以引起动物皮肤致敏性反应，为临床安全使用提供参考。</w:t>
            </w:r>
          </w:p>
          <w:p w:rsidR="00343C71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</w:t>
            </w:r>
            <w:r>
              <w:rPr>
                <w:rFonts w:hint="eastAsia"/>
                <w:szCs w:val="21"/>
              </w:rPr>
              <w:t>需</w:t>
            </w:r>
            <w:r w:rsidRPr="00D9031F">
              <w:rPr>
                <w:szCs w:val="21"/>
              </w:rPr>
              <w:t>遵从国家药品监督管理局</w:t>
            </w:r>
            <w:r w:rsidRPr="00D9031F">
              <w:rPr>
                <w:rFonts w:hint="eastAsia"/>
                <w:szCs w:val="21"/>
              </w:rPr>
              <w:t>（原国家食品药品监督管理总局）</w:t>
            </w:r>
            <w:r w:rsidRPr="00D9031F">
              <w:rPr>
                <w:rFonts w:hint="eastAsia"/>
                <w:szCs w:val="21"/>
              </w:rPr>
              <w:t>2017</w:t>
            </w:r>
            <w:r w:rsidRPr="00D9031F">
              <w:rPr>
                <w:rFonts w:hint="eastAsia"/>
                <w:szCs w:val="21"/>
              </w:rPr>
              <w:t>年</w:t>
            </w:r>
            <w:r w:rsidRPr="00D9031F">
              <w:rPr>
                <w:rFonts w:hint="eastAsia"/>
                <w:szCs w:val="21"/>
              </w:rPr>
              <w:t>9</w:t>
            </w:r>
            <w:r w:rsidRPr="00D9031F">
              <w:rPr>
                <w:rFonts w:hint="eastAsia"/>
                <w:szCs w:val="21"/>
              </w:rPr>
              <w:t>月</w:t>
            </w:r>
            <w:r w:rsidRPr="00D9031F">
              <w:rPr>
                <w:rFonts w:hint="eastAsia"/>
                <w:szCs w:val="21"/>
              </w:rPr>
              <w:t>1</w:t>
            </w:r>
            <w:r w:rsidRPr="00D9031F">
              <w:rPr>
                <w:rFonts w:hint="eastAsia"/>
                <w:szCs w:val="21"/>
              </w:rPr>
              <w:t>日施行的</w:t>
            </w:r>
            <w:r w:rsidRPr="00D9031F">
              <w:rPr>
                <w:szCs w:val="21"/>
              </w:rPr>
              <w:t>《药物非临床研究质量管理规范》（</w:t>
            </w:r>
            <w:proofErr w:type="gramStart"/>
            <w:r w:rsidRPr="00D9031F">
              <w:rPr>
                <w:szCs w:val="21"/>
              </w:rPr>
              <w:t>局令第</w:t>
            </w:r>
            <w:r w:rsidRPr="00D9031F">
              <w:rPr>
                <w:rFonts w:hint="eastAsia"/>
                <w:szCs w:val="21"/>
              </w:rPr>
              <w:t>34</w:t>
            </w:r>
            <w:r w:rsidRPr="00D9031F">
              <w:rPr>
                <w:szCs w:val="21"/>
              </w:rPr>
              <w:t>号</w:t>
            </w:r>
            <w:proofErr w:type="gramEnd"/>
            <w:r w:rsidRPr="00D9031F">
              <w:rPr>
                <w:szCs w:val="21"/>
              </w:rPr>
              <w:t>，</w:t>
            </w:r>
            <w:r w:rsidRPr="00D9031F">
              <w:rPr>
                <w:szCs w:val="21"/>
              </w:rPr>
              <w:t>20</w:t>
            </w:r>
            <w:r w:rsidRPr="00D9031F">
              <w:rPr>
                <w:rFonts w:hint="eastAsia"/>
                <w:szCs w:val="21"/>
              </w:rPr>
              <w:t>17</w:t>
            </w:r>
            <w:r w:rsidRPr="00D9031F">
              <w:rPr>
                <w:szCs w:val="21"/>
              </w:rPr>
              <w:t>年）</w:t>
            </w:r>
            <w:r>
              <w:rPr>
                <w:rFonts w:hint="eastAsia"/>
                <w:szCs w:val="21"/>
              </w:rPr>
              <w:t>。</w:t>
            </w:r>
          </w:p>
          <w:p w:rsidR="00343C71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试验需</w:t>
            </w:r>
            <w:r w:rsidRPr="00D9031F">
              <w:rPr>
                <w:szCs w:val="21"/>
              </w:rPr>
              <w:t>参照国家药品监督管理局</w:t>
            </w:r>
            <w:r w:rsidRPr="00D9031F">
              <w:rPr>
                <w:rFonts w:hint="eastAsia"/>
                <w:szCs w:val="21"/>
              </w:rPr>
              <w:t>（原国家食品药品监督管理总局）</w:t>
            </w:r>
            <w:r w:rsidRPr="00D9031F">
              <w:rPr>
                <w:szCs w:val="21"/>
              </w:rPr>
              <w:t>2014</w:t>
            </w:r>
            <w:r w:rsidRPr="00D9031F">
              <w:rPr>
                <w:szCs w:val="21"/>
              </w:rPr>
              <w:t>年第</w:t>
            </w:r>
            <w:r w:rsidRPr="00D9031F">
              <w:rPr>
                <w:szCs w:val="21"/>
              </w:rPr>
              <w:t>4</w:t>
            </w:r>
            <w:r w:rsidRPr="00D9031F">
              <w:rPr>
                <w:szCs w:val="21"/>
              </w:rPr>
              <w:t>号通告附件</w:t>
            </w:r>
            <w:r w:rsidRPr="00D9031F">
              <w:rPr>
                <w:szCs w:val="21"/>
              </w:rPr>
              <w:t>4</w:t>
            </w:r>
            <w:r w:rsidRPr="00D9031F">
              <w:rPr>
                <w:szCs w:val="21"/>
              </w:rPr>
              <w:t>《药物刺激性、过敏性和溶血性研究技术指导原则》进行试验。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</w:t>
            </w:r>
            <w:r w:rsidRPr="00D9031F">
              <w:rPr>
                <w:szCs w:val="21"/>
              </w:rPr>
              <w:t>动物使用</w:t>
            </w:r>
            <w:r w:rsidRPr="00D9031F">
              <w:rPr>
                <w:rFonts w:hint="eastAsia"/>
                <w:szCs w:val="21"/>
              </w:rPr>
              <w:t>需</w:t>
            </w:r>
            <w:r w:rsidRPr="00D9031F">
              <w:rPr>
                <w:szCs w:val="21"/>
              </w:rPr>
              <w:t>遵守国家动物福利法规《关于善待动物的指导性意见》（</w:t>
            </w:r>
            <w:r w:rsidRPr="00D9031F">
              <w:rPr>
                <w:szCs w:val="21"/>
              </w:rPr>
              <w:t>2006</w:t>
            </w:r>
            <w:r w:rsidRPr="00D9031F">
              <w:rPr>
                <w:szCs w:val="21"/>
              </w:rPr>
              <w:t>年，科技部）。</w:t>
            </w:r>
            <w:r w:rsidRPr="00D9031F">
              <w:rPr>
                <w:rFonts w:hint="eastAsia"/>
                <w:szCs w:val="21"/>
              </w:rPr>
              <w:t>试验</w:t>
            </w:r>
            <w:r w:rsidRPr="00D9031F">
              <w:rPr>
                <w:szCs w:val="21"/>
              </w:rPr>
              <w:t>动物使用方案</w:t>
            </w:r>
            <w:proofErr w:type="gramStart"/>
            <w:r w:rsidRPr="00D9031F">
              <w:rPr>
                <w:szCs w:val="21"/>
              </w:rPr>
              <w:t>经机构</w:t>
            </w:r>
            <w:proofErr w:type="gramEnd"/>
            <w:r w:rsidRPr="00D9031F">
              <w:rPr>
                <w:szCs w:val="21"/>
              </w:rPr>
              <w:t>动物管理委员会（</w:t>
            </w:r>
            <w:r w:rsidRPr="00D9031F">
              <w:rPr>
                <w:szCs w:val="21"/>
              </w:rPr>
              <w:t>IACUC</w:t>
            </w:r>
            <w:r w:rsidRPr="00D9031F">
              <w:rPr>
                <w:szCs w:val="21"/>
              </w:rPr>
              <w:t>）批准，试验过程接受其监督。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lastRenderedPageBreak/>
              <w:t>试验方案、原始数据和最终报告均需经过</w:t>
            </w:r>
            <w:r>
              <w:rPr>
                <w:rFonts w:hint="eastAsia"/>
                <w:szCs w:val="21"/>
              </w:rPr>
              <w:t>受托方</w:t>
            </w:r>
            <w:r w:rsidRPr="00D9031F">
              <w:rPr>
                <w:rFonts w:hint="eastAsia"/>
                <w:szCs w:val="21"/>
              </w:rPr>
              <w:t>QAU</w:t>
            </w:r>
            <w:r w:rsidRPr="00D9031F">
              <w:rPr>
                <w:rFonts w:hint="eastAsia"/>
                <w:szCs w:val="21"/>
              </w:rPr>
              <w:t>的审核。按照质量保证计划，</w:t>
            </w:r>
            <w:r w:rsidRPr="00D9031F">
              <w:rPr>
                <w:rFonts w:hint="eastAsia"/>
                <w:szCs w:val="21"/>
              </w:rPr>
              <w:t xml:space="preserve"> QAU</w:t>
            </w:r>
            <w:r w:rsidRPr="00D9031F">
              <w:rPr>
                <w:rFonts w:hint="eastAsia"/>
                <w:szCs w:val="21"/>
              </w:rPr>
              <w:t>对试验实施开展了试验检查并再最终报告中出具一份质量保证声明。</w:t>
            </w:r>
          </w:p>
          <w:p w:rsidR="00343C71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D9031F">
              <w:rPr>
                <w:rFonts w:hint="eastAsia"/>
                <w:szCs w:val="21"/>
              </w:rPr>
              <w:t>试验过程需按照计划书、修改页及相关</w:t>
            </w:r>
            <w:r w:rsidRPr="00D9031F">
              <w:rPr>
                <w:rFonts w:hint="eastAsia"/>
                <w:szCs w:val="21"/>
              </w:rPr>
              <w:t>SOP</w:t>
            </w:r>
            <w:r w:rsidRPr="00D9031F">
              <w:rPr>
                <w:rFonts w:hint="eastAsia"/>
                <w:szCs w:val="21"/>
              </w:rPr>
              <w:t>进行。</w:t>
            </w:r>
          </w:p>
          <w:p w:rsidR="00343C71" w:rsidRPr="00D9031F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 w:rsidRPr="00874EDE">
              <w:rPr>
                <w:rFonts w:hint="eastAsia"/>
                <w:szCs w:val="21"/>
              </w:rPr>
              <w:t>不得擅自将供</w:t>
            </w:r>
            <w:r w:rsidRPr="00874EDE">
              <w:rPr>
                <w:szCs w:val="21"/>
              </w:rPr>
              <w:t>试</w:t>
            </w:r>
            <w:r w:rsidRPr="00874EDE">
              <w:rPr>
                <w:rFonts w:hint="eastAsia"/>
                <w:szCs w:val="21"/>
              </w:rPr>
              <w:t>样品</w:t>
            </w:r>
            <w:r>
              <w:rPr>
                <w:rFonts w:hint="eastAsia"/>
                <w:szCs w:val="21"/>
              </w:rPr>
              <w:t>、</w:t>
            </w:r>
            <w:r w:rsidRPr="00874EDE">
              <w:rPr>
                <w:rFonts w:hint="eastAsia"/>
                <w:szCs w:val="21"/>
              </w:rPr>
              <w:t>试验任何数据和相关结果</w:t>
            </w:r>
            <w:r>
              <w:rPr>
                <w:rFonts w:hint="eastAsia"/>
                <w:szCs w:val="21"/>
              </w:rPr>
              <w:t>及</w:t>
            </w:r>
            <w:r w:rsidRPr="00874EDE">
              <w:rPr>
                <w:rFonts w:hint="eastAsia"/>
                <w:szCs w:val="21"/>
              </w:rPr>
              <w:t>相关信息转送或透露给第三方，</w:t>
            </w:r>
            <w:r w:rsidRPr="00874EDE">
              <w:rPr>
                <w:szCs w:val="21"/>
              </w:rPr>
              <w:t>国家强制力披露的除外</w:t>
            </w:r>
            <w:r w:rsidRPr="00874EDE">
              <w:rPr>
                <w:rFonts w:hint="eastAsia"/>
                <w:szCs w:val="21"/>
              </w:rPr>
              <w:t>。</w:t>
            </w:r>
          </w:p>
          <w:p w:rsidR="00343C71" w:rsidRPr="000D0C93" w:rsidRDefault="00343C71" w:rsidP="00343C71">
            <w:pPr>
              <w:pStyle w:val="a7"/>
              <w:numPr>
                <w:ilvl w:val="0"/>
                <w:numId w:val="15"/>
              </w:numPr>
              <w:snapToGrid w:val="0"/>
              <w:spacing w:line="360" w:lineRule="auto"/>
              <w:ind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最终</w:t>
            </w:r>
            <w:r w:rsidRPr="00D9031F">
              <w:rPr>
                <w:rFonts w:hint="eastAsia"/>
                <w:szCs w:val="21"/>
              </w:rPr>
              <w:t>需提供满足</w:t>
            </w:r>
            <w:r w:rsidRPr="00D9031F">
              <w:rPr>
                <w:szCs w:val="21"/>
              </w:rPr>
              <w:t>NMPA</w:t>
            </w:r>
            <w:r w:rsidRPr="00D9031F">
              <w:rPr>
                <w:rFonts w:hint="eastAsia"/>
                <w:szCs w:val="21"/>
              </w:rPr>
              <w:t>审评要求的完整报告</w:t>
            </w:r>
            <w:r w:rsidRPr="00D9031F">
              <w:rPr>
                <w:rFonts w:hint="eastAsia"/>
                <w:szCs w:val="21"/>
              </w:rPr>
              <w:t>5</w:t>
            </w:r>
            <w:r w:rsidRPr="00D9031F">
              <w:rPr>
                <w:rFonts w:hint="eastAsia"/>
                <w:szCs w:val="21"/>
              </w:rPr>
              <w:t>份，并可协助进行答辩。</w:t>
            </w:r>
          </w:p>
        </w:tc>
      </w:tr>
      <w:tr w:rsidR="00343C71" w:rsidTr="00357C85">
        <w:trPr>
          <w:trHeight w:val="392"/>
        </w:trPr>
        <w:tc>
          <w:tcPr>
            <w:tcW w:w="851" w:type="dxa"/>
            <w:vMerge w:val="restart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lastRenderedPageBreak/>
              <w:t>4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试验方案</w:t>
            </w:r>
            <w:r>
              <w:rPr>
                <w:rFonts w:eastAsia="宋体" w:hint="eastAsia"/>
                <w:kern w:val="2"/>
                <w:sz w:val="21"/>
                <w:szCs w:val="21"/>
              </w:rPr>
              <w:t>1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3C71" w:rsidRDefault="00343C71" w:rsidP="00343C71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 w:rsidRPr="00C51316">
              <w:rPr>
                <w:rFonts w:ascii="Times New Roman" w:hAnsi="Times New Roman" w:hint="eastAsia"/>
                <w:b/>
              </w:rPr>
              <w:t>眼刺激性试验</w:t>
            </w:r>
          </w:p>
        </w:tc>
      </w:tr>
      <w:tr w:rsidR="00343C71" w:rsidTr="00FA222C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目的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考察药物重复给药后对兔</w:t>
            </w:r>
            <w:proofErr w:type="gramStart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眼是否</w:t>
            </w:r>
            <w:proofErr w:type="gramEnd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具有刺激性</w:t>
            </w:r>
          </w:p>
        </w:tc>
      </w:tr>
      <w:tr w:rsidR="00343C71" w:rsidTr="00C6505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GLP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GLP</w:t>
            </w:r>
          </w:p>
        </w:tc>
      </w:tr>
      <w:tr w:rsidR="00343C71" w:rsidTr="00AE7208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before="40" w:after="20" w:line="240" w:lineRule="exact"/>
              <w:rPr>
                <w:kern w:val="2"/>
                <w:sz w:val="21"/>
                <w:szCs w:val="21"/>
              </w:rPr>
            </w:pPr>
            <w:proofErr w:type="gramStart"/>
            <w:r w:rsidRPr="00343C71">
              <w:rPr>
                <w:rFonts w:hint="eastAsia"/>
                <w:kern w:val="2"/>
                <w:sz w:val="21"/>
                <w:szCs w:val="21"/>
              </w:rPr>
              <w:t>供试品</w:t>
            </w:r>
            <w:proofErr w:type="gramEnd"/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个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 w:val="restart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研究</w:t>
            </w:r>
          </w:p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系统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种属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新西兰</w:t>
            </w:r>
            <w:r w:rsidRPr="00343C71">
              <w:rPr>
                <w:kern w:val="2"/>
                <w:sz w:val="21"/>
                <w:szCs w:val="21"/>
              </w:rPr>
              <w:t>/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日本大耳白兔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proofErr w:type="gramStart"/>
            <w:r w:rsidRPr="00343C71">
              <w:rPr>
                <w:rFonts w:hint="eastAsia"/>
                <w:kern w:val="2"/>
                <w:sz w:val="21"/>
                <w:szCs w:val="21"/>
              </w:rPr>
              <w:t>周龄</w:t>
            </w:r>
            <w:proofErr w:type="gramEnd"/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6-7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周龄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体重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1.8-2.4kg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数量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4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只，雌雄各半。</w:t>
            </w:r>
          </w:p>
        </w:tc>
      </w:tr>
      <w:tr w:rsidR="00343C71" w:rsidTr="00BF5239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napToGrid w:val="0"/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剂量设计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一个剂量，使用</w:t>
            </w:r>
            <w:proofErr w:type="gramStart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供试品的</w:t>
            </w:r>
            <w:proofErr w:type="gramEnd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原液</w:t>
            </w:r>
          </w:p>
        </w:tc>
      </w:tr>
      <w:tr w:rsidR="00343C71" w:rsidTr="00E63796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after="20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 w:hint="eastAsia"/>
                <w:kern w:val="2"/>
                <w:sz w:val="21"/>
                <w:szCs w:val="21"/>
                <w:lang w:eastAsia="zh-CN"/>
              </w:rPr>
              <w:t>试验方法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采用自身左右侧对照法，右侧给予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0.1ml</w:t>
            </w:r>
            <w:proofErr w:type="gramStart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供试品</w:t>
            </w:r>
            <w:proofErr w:type="gramEnd"/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/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只，左侧给予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0.1ml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生理盐水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/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只，给药频次同临床，连续给药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2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周。每天给药前在裂隙灯下进行眼检查，</w:t>
            </w:r>
            <w:proofErr w:type="gramStart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眼检查</w:t>
            </w:r>
            <w:proofErr w:type="gramEnd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完成后进行荧光素钠染色检查。末次给药后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2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4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24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48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72h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进行</w:t>
            </w:r>
            <w:proofErr w:type="gramStart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眼检查</w:t>
            </w:r>
            <w:proofErr w:type="gramEnd"/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及荧光素钠染色检查。若无刺激性则试验结束，若存在刺激性则延长观察时间，延长时间最多不超过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21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天。</w:t>
            </w:r>
          </w:p>
        </w:tc>
      </w:tr>
      <w:tr w:rsidR="00343C71" w:rsidTr="00B52F4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after="20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 w:hint="eastAsia"/>
                <w:kern w:val="2"/>
                <w:sz w:val="21"/>
                <w:szCs w:val="21"/>
                <w:lang w:eastAsia="zh-CN"/>
              </w:rPr>
              <w:t>给药途径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经眼给药</w:t>
            </w:r>
          </w:p>
        </w:tc>
      </w:tr>
      <w:tr w:rsidR="00343C71" w:rsidTr="00F17CE2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before="20" w:after="20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 w:hint="eastAsia"/>
                <w:kern w:val="2"/>
                <w:sz w:val="21"/>
                <w:szCs w:val="21"/>
                <w:lang w:eastAsia="zh-CN"/>
              </w:rPr>
              <w:t>给药频率、周期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重复毒性试验给药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14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天</w:t>
            </w:r>
          </w:p>
        </w:tc>
      </w:tr>
      <w:tr w:rsidR="00343C71" w:rsidTr="0059670E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before="20" w:after="20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 w:hint="eastAsia"/>
                <w:kern w:val="2"/>
                <w:sz w:val="21"/>
                <w:szCs w:val="21"/>
                <w:lang w:eastAsia="zh-CN"/>
              </w:rPr>
              <w:t>供</w:t>
            </w:r>
            <w:proofErr w:type="gramStart"/>
            <w:r w:rsidRPr="00343C71">
              <w:rPr>
                <w:rFonts w:ascii="Calibri" w:eastAsia="宋体" w:hAnsi="Calibri" w:cs="Times New Roman" w:hint="eastAsia"/>
                <w:kern w:val="2"/>
                <w:sz w:val="21"/>
                <w:szCs w:val="21"/>
                <w:lang w:eastAsia="zh-CN"/>
              </w:rPr>
              <w:t>试品量</w:t>
            </w:r>
            <w:proofErr w:type="gramEnd"/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算上损耗，需要至少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60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毫升供试品。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 w:val="restart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检查</w:t>
            </w:r>
          </w:p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指标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临床观察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给药期间每天给前，恢复期每天一次。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体重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重复动物给药前，末次给药结束后，末次给药后</w:t>
            </w:r>
            <w:r w:rsidRPr="00343C71">
              <w:rPr>
                <w:kern w:val="2"/>
                <w:sz w:val="21"/>
                <w:szCs w:val="21"/>
              </w:rPr>
              <w:t>72h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，若有延长观察，每周</w:t>
            </w:r>
            <w:r w:rsidRPr="00343C71">
              <w:rPr>
                <w:kern w:val="2"/>
                <w:sz w:val="21"/>
                <w:szCs w:val="21"/>
              </w:rPr>
              <w:t>1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次。</w:t>
            </w:r>
          </w:p>
        </w:tc>
      </w:tr>
      <w:tr w:rsidR="00343C71" w:rsidTr="00343C71">
        <w:trPr>
          <w:trHeight w:val="644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报告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中文报告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5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份</w:t>
            </w:r>
          </w:p>
        </w:tc>
      </w:tr>
      <w:tr w:rsidR="00343C71" w:rsidTr="003360F2">
        <w:trPr>
          <w:trHeight w:val="392"/>
        </w:trPr>
        <w:tc>
          <w:tcPr>
            <w:tcW w:w="851" w:type="dxa"/>
            <w:vMerge w:val="restart"/>
            <w:vAlign w:val="center"/>
          </w:tcPr>
          <w:p w:rsidR="00343C71" w:rsidRPr="000D0C93" w:rsidRDefault="00343C71" w:rsidP="00FD2FDA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lastRenderedPageBreak/>
              <w:t>5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343C71" w:rsidRDefault="00343C71" w:rsidP="00343C71">
            <w:pPr>
              <w:pStyle w:val="2"/>
              <w:snapToGrid w:val="0"/>
              <w:ind w:firstLineChars="0" w:firstLine="0"/>
              <w:rPr>
                <w:rFonts w:eastAsia="宋体"/>
                <w:kern w:val="2"/>
                <w:sz w:val="21"/>
                <w:szCs w:val="21"/>
              </w:rPr>
            </w:pPr>
            <w:r>
              <w:rPr>
                <w:rFonts w:eastAsia="宋体" w:hint="eastAsia"/>
                <w:kern w:val="2"/>
                <w:sz w:val="21"/>
                <w:szCs w:val="21"/>
              </w:rPr>
              <w:t>试验方案</w:t>
            </w:r>
            <w:r>
              <w:rPr>
                <w:rFonts w:eastAsia="宋体" w:hint="eastAsia"/>
                <w:kern w:val="2"/>
                <w:sz w:val="21"/>
                <w:szCs w:val="21"/>
              </w:rPr>
              <w:t>2</w:t>
            </w:r>
          </w:p>
        </w:tc>
        <w:tc>
          <w:tcPr>
            <w:tcW w:w="7938" w:type="dxa"/>
            <w:gridSpan w:val="3"/>
            <w:shd w:val="clear" w:color="auto" w:fill="auto"/>
            <w:vAlign w:val="center"/>
          </w:tcPr>
          <w:p w:rsidR="00343C71" w:rsidRPr="00343C71" w:rsidRDefault="00343C71" w:rsidP="00343C71">
            <w:pPr>
              <w:rPr>
                <w:rFonts w:hint="eastAsia"/>
                <w:b/>
                <w:kern w:val="2"/>
                <w:sz w:val="21"/>
                <w:szCs w:val="21"/>
              </w:rPr>
            </w:pPr>
            <w:r w:rsidRPr="00343C71">
              <w:rPr>
                <w:b/>
                <w:kern w:val="2"/>
                <w:sz w:val="21"/>
                <w:szCs w:val="21"/>
              </w:rPr>
              <w:t>皮肤致敏性</w:t>
            </w:r>
            <w:r w:rsidRPr="00343C71">
              <w:rPr>
                <w:b/>
                <w:kern w:val="2"/>
                <w:sz w:val="21"/>
                <w:szCs w:val="21"/>
              </w:rPr>
              <w:t>(Buehler</w:t>
            </w:r>
            <w:r w:rsidRPr="00343C71">
              <w:rPr>
                <w:b/>
                <w:kern w:val="2"/>
                <w:sz w:val="21"/>
                <w:szCs w:val="21"/>
              </w:rPr>
              <w:t>法</w:t>
            </w:r>
            <w:r w:rsidRPr="00343C71">
              <w:rPr>
                <w:b/>
                <w:kern w:val="2"/>
                <w:sz w:val="21"/>
                <w:szCs w:val="21"/>
              </w:rPr>
              <w:t>)</w:t>
            </w:r>
            <w:r w:rsidRPr="00343C71">
              <w:rPr>
                <w:b/>
                <w:kern w:val="2"/>
                <w:sz w:val="21"/>
                <w:szCs w:val="21"/>
              </w:rPr>
              <w:t>试验方案</w:t>
            </w:r>
          </w:p>
        </w:tc>
      </w:tr>
      <w:tr w:rsidR="00343C71" w:rsidTr="00DA284C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目的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考察药物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是否会引起豚鼠发生皮肤致敏反应</w:t>
            </w:r>
          </w:p>
        </w:tc>
      </w:tr>
      <w:tr w:rsidR="00343C71" w:rsidTr="00583C99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GLP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GLP</w:t>
            </w:r>
          </w:p>
        </w:tc>
      </w:tr>
      <w:tr w:rsidR="00343C71" w:rsidTr="001512A8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before="40" w:after="20" w:line="360" w:lineRule="auto"/>
              <w:rPr>
                <w:kern w:val="2"/>
                <w:sz w:val="21"/>
                <w:szCs w:val="21"/>
              </w:rPr>
            </w:pPr>
            <w:proofErr w:type="gramStart"/>
            <w:r w:rsidRPr="00343C71">
              <w:rPr>
                <w:kern w:val="2"/>
                <w:sz w:val="21"/>
                <w:szCs w:val="21"/>
              </w:rPr>
              <w:t>供试品</w:t>
            </w:r>
            <w:proofErr w:type="gramEnd"/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个药物</w:t>
            </w:r>
          </w:p>
        </w:tc>
      </w:tr>
      <w:tr w:rsidR="00343C71" w:rsidTr="00343C71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 w:val="restart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研究</w:t>
            </w:r>
          </w:p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系统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种属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rFonts w:hint="eastAsia"/>
                <w:kern w:val="2"/>
                <w:sz w:val="21"/>
                <w:szCs w:val="21"/>
              </w:rPr>
              <w:t>H</w:t>
            </w:r>
            <w:r w:rsidRPr="00343C71">
              <w:rPr>
                <w:kern w:val="2"/>
                <w:sz w:val="21"/>
                <w:szCs w:val="21"/>
              </w:rPr>
              <w:t>artley</w:t>
            </w:r>
            <w:r w:rsidRPr="00343C71">
              <w:rPr>
                <w:kern w:val="2"/>
                <w:sz w:val="21"/>
                <w:szCs w:val="21"/>
              </w:rPr>
              <w:t>豚鼠</w:t>
            </w:r>
          </w:p>
        </w:tc>
      </w:tr>
      <w:tr w:rsidR="00343C71" w:rsidTr="0002525D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proofErr w:type="gramStart"/>
            <w:r w:rsidRPr="00343C71">
              <w:rPr>
                <w:kern w:val="2"/>
                <w:sz w:val="21"/>
                <w:szCs w:val="21"/>
              </w:rPr>
              <w:t>周龄</w:t>
            </w:r>
            <w:proofErr w:type="gramEnd"/>
          </w:p>
        </w:tc>
        <w:tc>
          <w:tcPr>
            <w:tcW w:w="5658" w:type="dxa"/>
            <w:shd w:val="clear" w:color="auto" w:fill="auto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5-8</w:t>
            </w:r>
            <w:r w:rsidRPr="00343C71">
              <w:rPr>
                <w:kern w:val="2"/>
                <w:sz w:val="21"/>
                <w:szCs w:val="21"/>
              </w:rPr>
              <w:t>周龄</w:t>
            </w:r>
          </w:p>
        </w:tc>
      </w:tr>
      <w:tr w:rsidR="00343C71" w:rsidTr="0002525D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体重</w:t>
            </w:r>
          </w:p>
        </w:tc>
        <w:tc>
          <w:tcPr>
            <w:tcW w:w="5658" w:type="dxa"/>
            <w:shd w:val="clear" w:color="auto" w:fill="auto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280-340g</w:t>
            </w:r>
          </w:p>
        </w:tc>
      </w:tr>
      <w:tr w:rsidR="00343C71" w:rsidTr="0002525D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数量</w:t>
            </w:r>
          </w:p>
        </w:tc>
        <w:tc>
          <w:tcPr>
            <w:tcW w:w="5658" w:type="dxa"/>
            <w:shd w:val="clear" w:color="auto" w:fill="auto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30</w:t>
            </w:r>
            <w:r w:rsidRPr="00343C71">
              <w:rPr>
                <w:rFonts w:hint="eastAsia"/>
                <w:kern w:val="2"/>
                <w:sz w:val="21"/>
                <w:szCs w:val="21"/>
              </w:rPr>
              <w:t>只</w:t>
            </w:r>
            <w:r w:rsidRPr="00343C71">
              <w:rPr>
                <w:kern w:val="2"/>
                <w:sz w:val="21"/>
                <w:szCs w:val="21"/>
              </w:rPr>
              <w:t>，单一性别</w:t>
            </w:r>
          </w:p>
        </w:tc>
      </w:tr>
      <w:tr w:rsidR="00343C71" w:rsidTr="00767C5B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napToGrid w:val="0"/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剂量设计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设置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个给药组，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个溶媒对照组，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个阳性药物组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（采用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中心半年内阳性历史数据）</w:t>
            </w:r>
          </w:p>
        </w:tc>
      </w:tr>
      <w:tr w:rsidR="00343C71" w:rsidTr="000D63C5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after="20" w:line="360" w:lineRule="auto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  <w:t>试验方法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设计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3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个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组别，阴性对照组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（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10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只，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给予生理盐水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）、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阳性对照组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（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给予二硝基氯苯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）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及受试物组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（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20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只，给予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供试品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）。致敏给药时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将豚鼠背部毛发剔除，贴敷药物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每次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给药后保持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6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小时去除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。激发给药部位为致敏给药对侧，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给药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6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小时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后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去除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药物。在致敏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去除药物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后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和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24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小时及激发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去除药物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后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1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、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24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和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48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小时观察皮肤红斑、水肿和其他异常反应，按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指导原则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进行评分，计算过敏反应发生率。</w:t>
            </w:r>
          </w:p>
        </w:tc>
        <w:bookmarkStart w:id="0" w:name="_GoBack"/>
        <w:bookmarkEnd w:id="0"/>
      </w:tr>
      <w:tr w:rsidR="00343C71" w:rsidTr="00DE567C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after="20" w:line="360" w:lineRule="auto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  <w:t>给药途径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经皮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给药</w:t>
            </w:r>
          </w:p>
        </w:tc>
      </w:tr>
      <w:tr w:rsidR="00343C71" w:rsidTr="009F6D17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pStyle w:val="SOPParagraph1"/>
              <w:spacing w:before="20" w:after="20" w:line="360" w:lineRule="auto"/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</w:pPr>
            <w:r w:rsidRPr="00343C71">
              <w:rPr>
                <w:rFonts w:ascii="Calibri" w:eastAsia="宋体" w:hAnsi="Calibri" w:cs="Times New Roman"/>
                <w:kern w:val="2"/>
                <w:sz w:val="21"/>
                <w:szCs w:val="21"/>
                <w:lang w:eastAsia="zh-CN"/>
              </w:rPr>
              <w:t>给药频率、周期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致敏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共给药三次，间隔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7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天。末次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致敏给药后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14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天</w:t>
            </w: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进行激发给药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。</w:t>
            </w:r>
          </w:p>
        </w:tc>
      </w:tr>
      <w:tr w:rsidR="00343C71" w:rsidTr="009671DA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 w:val="restart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检查</w:t>
            </w:r>
          </w:p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指标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临床观察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每天观察一次</w:t>
            </w:r>
          </w:p>
        </w:tc>
      </w:tr>
      <w:tr w:rsidR="00343C71" w:rsidTr="009671DA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vMerge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</w:p>
        </w:tc>
        <w:tc>
          <w:tcPr>
            <w:tcW w:w="115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体重</w:t>
            </w:r>
          </w:p>
        </w:tc>
        <w:tc>
          <w:tcPr>
            <w:tcW w:w="5658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动物分组前、之后每周</w:t>
            </w:r>
            <w:r w:rsidRPr="00343C71">
              <w:rPr>
                <w:kern w:val="2"/>
                <w:sz w:val="21"/>
                <w:szCs w:val="21"/>
              </w:rPr>
              <w:t>1</w:t>
            </w:r>
            <w:r w:rsidRPr="00343C71">
              <w:rPr>
                <w:kern w:val="2"/>
                <w:sz w:val="21"/>
                <w:szCs w:val="21"/>
              </w:rPr>
              <w:t>次。</w:t>
            </w:r>
          </w:p>
        </w:tc>
      </w:tr>
      <w:tr w:rsidR="00343C71" w:rsidTr="009671DA">
        <w:trPr>
          <w:trHeight w:val="392"/>
        </w:trPr>
        <w:tc>
          <w:tcPr>
            <w:tcW w:w="851" w:type="dxa"/>
            <w:vMerge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343C71" w:rsidRDefault="00343C71" w:rsidP="00FD2FDA">
            <w:pPr>
              <w:pStyle w:val="2"/>
              <w:snapToGrid w:val="0"/>
              <w:ind w:firstLineChars="0" w:firstLine="0"/>
              <w:rPr>
                <w:rFonts w:eastAsia="宋体" w:hint="eastAsia"/>
                <w:kern w:val="2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 w:rsidR="00343C71" w:rsidRPr="00343C71" w:rsidRDefault="00343C71" w:rsidP="00FD2FDA">
            <w:pPr>
              <w:spacing w:line="360" w:lineRule="auto"/>
              <w:rPr>
                <w:kern w:val="2"/>
                <w:sz w:val="21"/>
                <w:szCs w:val="21"/>
              </w:rPr>
            </w:pPr>
            <w:r w:rsidRPr="00343C71">
              <w:rPr>
                <w:kern w:val="2"/>
                <w:sz w:val="21"/>
                <w:szCs w:val="21"/>
              </w:rPr>
              <w:t>报告</w:t>
            </w:r>
          </w:p>
        </w:tc>
        <w:tc>
          <w:tcPr>
            <w:tcW w:w="6813" w:type="dxa"/>
            <w:gridSpan w:val="2"/>
            <w:shd w:val="clear" w:color="auto" w:fill="auto"/>
            <w:vAlign w:val="center"/>
          </w:tcPr>
          <w:p w:rsidR="00343C71" w:rsidRPr="00343C71" w:rsidRDefault="00343C71" w:rsidP="00FD2FDA">
            <w:pPr>
              <w:pStyle w:val="2"/>
              <w:snapToGrid w:val="0"/>
              <w:ind w:left="360" w:firstLineChars="0" w:firstLine="0"/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</w:pPr>
            <w:r w:rsidRPr="00343C71">
              <w:rPr>
                <w:rFonts w:ascii="Calibri" w:eastAsia="宋体" w:hAnsi="Calibri"/>
                <w:spacing w:val="0"/>
                <w:kern w:val="2"/>
                <w:sz w:val="21"/>
                <w:szCs w:val="21"/>
                <w:lang w:val="en-US"/>
              </w:rPr>
              <w:t>中文报告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5</w:t>
            </w:r>
            <w:r w:rsidRPr="00343C71">
              <w:rPr>
                <w:rFonts w:ascii="Calibri" w:eastAsia="宋体" w:hAnsi="Calibri" w:hint="eastAsia"/>
                <w:spacing w:val="0"/>
                <w:kern w:val="2"/>
                <w:sz w:val="21"/>
                <w:szCs w:val="21"/>
                <w:lang w:val="en-US"/>
              </w:rPr>
              <w:t>份</w:t>
            </w:r>
          </w:p>
        </w:tc>
      </w:tr>
    </w:tbl>
    <w:p w:rsidR="00357C85" w:rsidRPr="00B22817" w:rsidRDefault="00357C85" w:rsidP="003F1D23">
      <w:pPr>
        <w:pStyle w:val="2"/>
        <w:adjustRightInd w:val="0"/>
        <w:snapToGrid w:val="0"/>
        <w:spacing w:line="240" w:lineRule="auto"/>
        <w:ind w:firstLineChars="0" w:firstLine="0"/>
        <w:jc w:val="left"/>
        <w:rPr>
          <w:rFonts w:cs="宋体"/>
          <w:color w:val="000000"/>
          <w:sz w:val="22"/>
          <w:szCs w:val="22"/>
          <w:lang w:val="en-US"/>
        </w:rPr>
      </w:pPr>
    </w:p>
    <w:sectPr w:rsidR="00357C85" w:rsidRPr="00B22817" w:rsidSect="00343C71">
      <w:pgSz w:w="11906" w:h="16838"/>
      <w:pgMar w:top="1134" w:right="991" w:bottom="1440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ABA" w:rsidRDefault="00F20ABA" w:rsidP="00AE1153">
      <w:pPr>
        <w:spacing w:after="0" w:line="240" w:lineRule="auto"/>
      </w:pPr>
      <w:r>
        <w:separator/>
      </w:r>
    </w:p>
  </w:endnote>
  <w:endnote w:type="continuationSeparator" w:id="0">
    <w:p w:rsidR="00F20ABA" w:rsidRDefault="00F20ABA" w:rsidP="00AE1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ABA" w:rsidRDefault="00F20ABA" w:rsidP="00AE1153">
      <w:pPr>
        <w:spacing w:after="0" w:line="240" w:lineRule="auto"/>
      </w:pPr>
      <w:r>
        <w:separator/>
      </w:r>
    </w:p>
  </w:footnote>
  <w:footnote w:type="continuationSeparator" w:id="0">
    <w:p w:rsidR="00F20ABA" w:rsidRDefault="00F20ABA" w:rsidP="00AE1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08D4"/>
    <w:multiLevelType w:val="hybridMultilevel"/>
    <w:tmpl w:val="8474C70C"/>
    <w:lvl w:ilvl="0" w:tplc="B8C86B8E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6C6765"/>
    <w:multiLevelType w:val="hybridMultilevel"/>
    <w:tmpl w:val="B83A0B1C"/>
    <w:lvl w:ilvl="0" w:tplc="7500F39E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6570CE"/>
    <w:multiLevelType w:val="hybridMultilevel"/>
    <w:tmpl w:val="75DCD7FE"/>
    <w:lvl w:ilvl="0" w:tplc="185AB9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0001220"/>
    <w:multiLevelType w:val="hybridMultilevel"/>
    <w:tmpl w:val="FE4EA7FE"/>
    <w:lvl w:ilvl="0" w:tplc="EEA27DD0">
      <w:start w:val="1"/>
      <w:numFmt w:val="decimal"/>
      <w:lvlText w:val="%1."/>
      <w:lvlJc w:val="left"/>
      <w:pPr>
        <w:ind w:left="360" w:hanging="360"/>
      </w:pPr>
      <w:rPr>
        <w:rFonts w:ascii="宋体" w:eastAsia="宋体" w:hAnsi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5662CEA"/>
    <w:multiLevelType w:val="hybridMultilevel"/>
    <w:tmpl w:val="FE4EA7FE"/>
    <w:lvl w:ilvl="0" w:tplc="EEA27DD0">
      <w:start w:val="1"/>
      <w:numFmt w:val="decimal"/>
      <w:lvlText w:val="%1."/>
      <w:lvlJc w:val="left"/>
      <w:pPr>
        <w:ind w:left="360" w:hanging="360"/>
      </w:pPr>
      <w:rPr>
        <w:rFonts w:ascii="宋体" w:eastAsia="宋体" w:hAnsi="宋体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6C82F6D"/>
    <w:multiLevelType w:val="multilevel"/>
    <w:tmpl w:val="16C82F6D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0805D6"/>
    <w:multiLevelType w:val="multilevel"/>
    <w:tmpl w:val="270805D6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95C7612"/>
    <w:multiLevelType w:val="hybridMultilevel"/>
    <w:tmpl w:val="1DB86258"/>
    <w:lvl w:ilvl="0" w:tplc="2EF25BAE">
      <w:start w:val="1"/>
      <w:numFmt w:val="decimal"/>
      <w:lvlText w:val="%1、"/>
      <w:lvlJc w:val="left"/>
      <w:pPr>
        <w:ind w:left="703" w:hanging="420"/>
      </w:pPr>
      <w:rPr>
        <w:rFonts w:ascii="新宋体" w:eastAsia="新宋体" w:hAnsi="新宋体" w:cs="新宋体"/>
        <w:lang w:eastAsia="zh-CN"/>
      </w:rPr>
    </w:lvl>
    <w:lvl w:ilvl="1" w:tplc="04090019" w:tentative="1">
      <w:start w:val="1"/>
      <w:numFmt w:val="lowerLetter"/>
      <w:lvlText w:val="%2)"/>
      <w:lvlJc w:val="left"/>
      <w:pPr>
        <w:ind w:left="1123" w:hanging="420"/>
      </w:pPr>
    </w:lvl>
    <w:lvl w:ilvl="2" w:tplc="0409001B" w:tentative="1">
      <w:start w:val="1"/>
      <w:numFmt w:val="lowerRoman"/>
      <w:lvlText w:val="%3."/>
      <w:lvlJc w:val="righ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9" w:tentative="1">
      <w:start w:val="1"/>
      <w:numFmt w:val="lowerLetter"/>
      <w:lvlText w:val="%5)"/>
      <w:lvlJc w:val="left"/>
      <w:pPr>
        <w:ind w:left="2383" w:hanging="420"/>
      </w:pPr>
    </w:lvl>
    <w:lvl w:ilvl="5" w:tplc="0409001B" w:tentative="1">
      <w:start w:val="1"/>
      <w:numFmt w:val="lowerRoman"/>
      <w:lvlText w:val="%6."/>
      <w:lvlJc w:val="righ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9" w:tentative="1">
      <w:start w:val="1"/>
      <w:numFmt w:val="lowerLetter"/>
      <w:lvlText w:val="%8)"/>
      <w:lvlJc w:val="left"/>
      <w:pPr>
        <w:ind w:left="3643" w:hanging="420"/>
      </w:pPr>
    </w:lvl>
    <w:lvl w:ilvl="8" w:tplc="0409001B" w:tentative="1">
      <w:start w:val="1"/>
      <w:numFmt w:val="lowerRoman"/>
      <w:lvlText w:val="%9."/>
      <w:lvlJc w:val="right"/>
      <w:pPr>
        <w:ind w:left="4063" w:hanging="420"/>
      </w:pPr>
    </w:lvl>
  </w:abstractNum>
  <w:abstractNum w:abstractNumId="8">
    <w:nsid w:val="36A104D2"/>
    <w:multiLevelType w:val="hybridMultilevel"/>
    <w:tmpl w:val="A97A59C0"/>
    <w:lvl w:ilvl="0" w:tplc="CEE01CA8">
      <w:start w:val="3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29592B"/>
    <w:multiLevelType w:val="hybridMultilevel"/>
    <w:tmpl w:val="03B467B8"/>
    <w:lvl w:ilvl="0" w:tplc="ABD82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7247541"/>
    <w:multiLevelType w:val="multilevel"/>
    <w:tmpl w:val="787ED734"/>
    <w:lvl w:ilvl="0">
      <w:start w:val="1"/>
      <w:numFmt w:val="decimal"/>
      <w:lvlText w:val="%1、"/>
      <w:lvlJc w:val="left"/>
      <w:pPr>
        <w:ind w:left="840" w:hanging="840"/>
      </w:pPr>
      <w:rPr>
        <w:rFonts w:ascii="新宋体" w:eastAsia="新宋体" w:hAnsi="新宋体" w:cs="新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4AD4568"/>
    <w:multiLevelType w:val="multilevel"/>
    <w:tmpl w:val="54AD4568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C681936"/>
    <w:multiLevelType w:val="singleLevel"/>
    <w:tmpl w:val="5C681936"/>
    <w:lvl w:ilvl="0">
      <w:start w:val="2"/>
      <w:numFmt w:val="decimal"/>
      <w:suff w:val="nothing"/>
      <w:lvlText w:val="%1、"/>
      <w:lvlJc w:val="left"/>
    </w:lvl>
  </w:abstractNum>
  <w:abstractNum w:abstractNumId="13">
    <w:nsid w:val="6BE800A3"/>
    <w:multiLevelType w:val="multilevel"/>
    <w:tmpl w:val="6BE800A3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22429C7"/>
    <w:multiLevelType w:val="hybridMultilevel"/>
    <w:tmpl w:val="21D444CA"/>
    <w:lvl w:ilvl="0" w:tplc="7C38CE18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12"/>
  </w:num>
  <w:num w:numId="3">
    <w:abstractNumId w:val="6"/>
  </w:num>
  <w:num w:numId="4">
    <w:abstractNumId w:val="10"/>
  </w:num>
  <w:num w:numId="5">
    <w:abstractNumId w:val="11"/>
  </w:num>
  <w:num w:numId="6">
    <w:abstractNumId w:val="5"/>
  </w:num>
  <w:num w:numId="7">
    <w:abstractNumId w:val="13"/>
  </w:num>
  <w:num w:numId="8">
    <w:abstractNumId w:val="8"/>
  </w:num>
  <w:num w:numId="9">
    <w:abstractNumId w:val="1"/>
  </w:num>
  <w:num w:numId="10">
    <w:abstractNumId w:val="0"/>
  </w:num>
  <w:num w:numId="11">
    <w:abstractNumId w:val="14"/>
  </w:num>
  <w:num w:numId="12">
    <w:abstractNumId w:val="7"/>
  </w:num>
  <w:num w:numId="13">
    <w:abstractNumId w:val="4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42EE4"/>
    <w:rsid w:val="00017773"/>
    <w:rsid w:val="000202B0"/>
    <w:rsid w:val="00063143"/>
    <w:rsid w:val="000720E5"/>
    <w:rsid w:val="000C1A93"/>
    <w:rsid w:val="000E4F0B"/>
    <w:rsid w:val="001467F1"/>
    <w:rsid w:val="00157F3E"/>
    <w:rsid w:val="00163241"/>
    <w:rsid w:val="00227FD3"/>
    <w:rsid w:val="00275BC1"/>
    <w:rsid w:val="002C779E"/>
    <w:rsid w:val="002F4E26"/>
    <w:rsid w:val="002F52F9"/>
    <w:rsid w:val="003076CF"/>
    <w:rsid w:val="003317A6"/>
    <w:rsid w:val="00337520"/>
    <w:rsid w:val="00343C71"/>
    <w:rsid w:val="003526F0"/>
    <w:rsid w:val="00355996"/>
    <w:rsid w:val="00357C85"/>
    <w:rsid w:val="00374DB5"/>
    <w:rsid w:val="00390E95"/>
    <w:rsid w:val="003E525C"/>
    <w:rsid w:val="003F1D23"/>
    <w:rsid w:val="004C4166"/>
    <w:rsid w:val="004C7128"/>
    <w:rsid w:val="00501FE0"/>
    <w:rsid w:val="00514508"/>
    <w:rsid w:val="005272D6"/>
    <w:rsid w:val="005363B5"/>
    <w:rsid w:val="00566C74"/>
    <w:rsid w:val="00571105"/>
    <w:rsid w:val="00574C37"/>
    <w:rsid w:val="005B1518"/>
    <w:rsid w:val="005B5D13"/>
    <w:rsid w:val="005C5AE7"/>
    <w:rsid w:val="00613BF1"/>
    <w:rsid w:val="00633AD4"/>
    <w:rsid w:val="00665191"/>
    <w:rsid w:val="00696D58"/>
    <w:rsid w:val="006A5BD0"/>
    <w:rsid w:val="006E203E"/>
    <w:rsid w:val="006E59B0"/>
    <w:rsid w:val="00703CB0"/>
    <w:rsid w:val="00720833"/>
    <w:rsid w:val="00731E00"/>
    <w:rsid w:val="0073799D"/>
    <w:rsid w:val="007553F3"/>
    <w:rsid w:val="00774CCA"/>
    <w:rsid w:val="00785DD4"/>
    <w:rsid w:val="007C24E7"/>
    <w:rsid w:val="007F27AF"/>
    <w:rsid w:val="008012DE"/>
    <w:rsid w:val="008913FD"/>
    <w:rsid w:val="008E4069"/>
    <w:rsid w:val="00904E39"/>
    <w:rsid w:val="009359DE"/>
    <w:rsid w:val="0095363F"/>
    <w:rsid w:val="00954EFC"/>
    <w:rsid w:val="0096237D"/>
    <w:rsid w:val="009A15B2"/>
    <w:rsid w:val="009F1289"/>
    <w:rsid w:val="00A200AF"/>
    <w:rsid w:val="00A33871"/>
    <w:rsid w:val="00A40431"/>
    <w:rsid w:val="00A45B11"/>
    <w:rsid w:val="00A867CE"/>
    <w:rsid w:val="00AC202F"/>
    <w:rsid w:val="00AE1153"/>
    <w:rsid w:val="00B21C6E"/>
    <w:rsid w:val="00B22817"/>
    <w:rsid w:val="00B26846"/>
    <w:rsid w:val="00B34DC1"/>
    <w:rsid w:val="00B8289E"/>
    <w:rsid w:val="00BF1FAB"/>
    <w:rsid w:val="00BF3E65"/>
    <w:rsid w:val="00C1292C"/>
    <w:rsid w:val="00C637C7"/>
    <w:rsid w:val="00CE676A"/>
    <w:rsid w:val="00CF37BB"/>
    <w:rsid w:val="00D31F84"/>
    <w:rsid w:val="00D46D5B"/>
    <w:rsid w:val="00D63860"/>
    <w:rsid w:val="00D66D26"/>
    <w:rsid w:val="00DB5D70"/>
    <w:rsid w:val="00E022EF"/>
    <w:rsid w:val="00E17798"/>
    <w:rsid w:val="00E3092A"/>
    <w:rsid w:val="00E55A87"/>
    <w:rsid w:val="00E64FA4"/>
    <w:rsid w:val="00E66DC0"/>
    <w:rsid w:val="00E96296"/>
    <w:rsid w:val="00F17565"/>
    <w:rsid w:val="00F20ABA"/>
    <w:rsid w:val="00F3562D"/>
    <w:rsid w:val="00F42784"/>
    <w:rsid w:val="00F42EE4"/>
    <w:rsid w:val="00F83063"/>
    <w:rsid w:val="00FA4E75"/>
    <w:rsid w:val="00FB2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 w:qFormat="1"/>
    <w:lsdException w:name="caption" w:uiPriority="35" w:qFormat="1"/>
    <w:lsdException w:name="annotation reference" w:uiPriority="9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semiHidden="0" w:uiPriority="99" w:unhideWhenUsed="0"/>
    <w:lsdException w:name="Table Web 1" w:uiPriority="99"/>
    <w:lsdException w:name="Table Web 2" w:uiPriority="99"/>
    <w:lsdException w:name="Table Web 3" w:semiHidden="0" w:uiPriority="99" w:unhideWhenUsed="0"/>
    <w:lsdException w:name="Table Grid" w:semiHidden="0" w:uiPriority="59" w:unhideWhenUsed="0" w:qFormat="1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833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571105"/>
    <w:rPr>
      <w:b/>
      <w:bCs w:val="0"/>
    </w:rPr>
  </w:style>
  <w:style w:type="paragraph" w:styleId="a4">
    <w:name w:val="header"/>
    <w:basedOn w:val="a"/>
    <w:link w:val="Char"/>
    <w:uiPriority w:val="99"/>
    <w:unhideWhenUsed/>
    <w:qFormat/>
    <w:rsid w:val="00AE1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qFormat/>
    <w:rsid w:val="00AE1153"/>
    <w:rPr>
      <w:rFonts w:ascii="Calibri" w:hAnsi="Calibri"/>
      <w:sz w:val="18"/>
      <w:szCs w:val="18"/>
    </w:rPr>
  </w:style>
  <w:style w:type="paragraph" w:styleId="a5">
    <w:name w:val="footer"/>
    <w:basedOn w:val="a"/>
    <w:link w:val="Char0"/>
    <w:unhideWhenUsed/>
    <w:rsid w:val="00AE115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E1153"/>
    <w:rPr>
      <w:rFonts w:ascii="Calibri" w:hAnsi="Calibri"/>
      <w:sz w:val="18"/>
      <w:szCs w:val="18"/>
    </w:rPr>
  </w:style>
  <w:style w:type="paragraph" w:styleId="a6">
    <w:name w:val="Balloon Text"/>
    <w:basedOn w:val="a"/>
    <w:link w:val="Char1"/>
    <w:semiHidden/>
    <w:unhideWhenUsed/>
    <w:rsid w:val="002F52F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semiHidden/>
    <w:rsid w:val="002F52F9"/>
    <w:rPr>
      <w:rFonts w:ascii="Calibri" w:hAnsi="Calibri"/>
      <w:sz w:val="18"/>
      <w:szCs w:val="18"/>
    </w:rPr>
  </w:style>
  <w:style w:type="paragraph" w:styleId="a7">
    <w:name w:val="List Paragraph"/>
    <w:basedOn w:val="a"/>
    <w:uiPriority w:val="34"/>
    <w:qFormat/>
    <w:rsid w:val="00A33871"/>
    <w:pPr>
      <w:widowControl w:val="0"/>
      <w:spacing w:after="0" w:line="240" w:lineRule="auto"/>
      <w:ind w:firstLineChars="200" w:firstLine="420"/>
      <w:jc w:val="both"/>
    </w:pPr>
    <w:rPr>
      <w:kern w:val="2"/>
      <w:sz w:val="21"/>
    </w:rPr>
  </w:style>
  <w:style w:type="table" w:styleId="a8">
    <w:name w:val="Table Grid"/>
    <w:basedOn w:val="a1"/>
    <w:uiPriority w:val="59"/>
    <w:qFormat/>
    <w:rsid w:val="00352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link w:val="2Char"/>
    <w:qFormat/>
    <w:rsid w:val="003526F0"/>
    <w:pPr>
      <w:spacing w:after="0" w:line="360" w:lineRule="auto"/>
      <w:ind w:firstLineChars="200" w:firstLine="480"/>
      <w:jc w:val="both"/>
    </w:pPr>
    <w:rPr>
      <w:rFonts w:ascii="宋体" w:eastAsia="仿宋" w:hAnsi="宋体"/>
      <w:spacing w:val="8"/>
      <w:sz w:val="24"/>
      <w:szCs w:val="24"/>
      <w:lang w:val="zh-CN"/>
    </w:rPr>
  </w:style>
  <w:style w:type="character" w:customStyle="1" w:styleId="2Char">
    <w:name w:val="样式2 Char"/>
    <w:link w:val="2"/>
    <w:qFormat/>
    <w:rsid w:val="003526F0"/>
    <w:rPr>
      <w:rFonts w:ascii="宋体" w:eastAsia="仿宋" w:hAnsi="宋体"/>
      <w:spacing w:val="8"/>
      <w:sz w:val="24"/>
      <w:szCs w:val="24"/>
      <w:lang w:val="zh-CN"/>
    </w:rPr>
  </w:style>
  <w:style w:type="character" w:styleId="a9">
    <w:name w:val="annotation reference"/>
    <w:basedOn w:val="a0"/>
    <w:uiPriority w:val="99"/>
    <w:semiHidden/>
    <w:unhideWhenUsed/>
    <w:qFormat/>
    <w:rsid w:val="00357C85"/>
    <w:rPr>
      <w:sz w:val="21"/>
      <w:szCs w:val="21"/>
    </w:rPr>
  </w:style>
  <w:style w:type="paragraph" w:customStyle="1" w:styleId="SOPParagraph1">
    <w:name w:val="SOP Paragraph 1"/>
    <w:basedOn w:val="a"/>
    <w:qFormat/>
    <w:rsid w:val="00343C71"/>
    <w:pPr>
      <w:widowControl w:val="0"/>
      <w:spacing w:before="40" w:after="40" w:line="240" w:lineRule="auto"/>
      <w:jc w:val="both"/>
    </w:pPr>
    <w:rPr>
      <w:rFonts w:asciiTheme="minorHAnsi" w:eastAsiaTheme="minorEastAsia" w:hAnsiTheme="minorHAnsi" w:cstheme="minorBidi"/>
      <w:sz w:val="24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3</Pages>
  <Words>326</Words>
  <Characters>1864</Characters>
  <Application>Microsoft Office Word</Application>
  <DocSecurity>0</DocSecurity>
  <Lines>15</Lines>
  <Paragraphs>4</Paragraphs>
  <ScaleCrop>false</ScaleCrop>
  <Company>howlink</Company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1、服务器，数量1台，技术指标不低于如下：</dc:title>
  <dc:creator>jasen</dc:creator>
  <cp:lastModifiedBy>user</cp:lastModifiedBy>
  <cp:revision>67</cp:revision>
  <cp:lastPrinted>2017-10-25T02:04:00Z</cp:lastPrinted>
  <dcterms:created xsi:type="dcterms:W3CDTF">2017-06-07T02:18:00Z</dcterms:created>
  <dcterms:modified xsi:type="dcterms:W3CDTF">2021-12-24T00:59:00Z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2052-9.1.0.4369</vt:lpwstr>
  </property>
</Properties>
</file>